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F5" w:rsidRPr="00B83A88" w:rsidRDefault="003253DA" w:rsidP="00B83A88">
      <w:pPr>
        <w:jc w:val="center"/>
        <w:rPr>
          <w:b/>
          <w:sz w:val="32"/>
          <w:szCs w:val="32"/>
        </w:rPr>
      </w:pPr>
      <w:r w:rsidRPr="00B83A88">
        <w:rPr>
          <w:b/>
          <w:sz w:val="32"/>
          <w:szCs w:val="32"/>
        </w:rPr>
        <w:t>Private Landlords Question</w:t>
      </w:r>
      <w:r w:rsidR="00B83A88">
        <w:rPr>
          <w:b/>
          <w:sz w:val="32"/>
          <w:szCs w:val="32"/>
        </w:rPr>
        <w:t>s</w:t>
      </w:r>
    </w:p>
    <w:p w:rsidR="002577AA" w:rsidRPr="0076209C" w:rsidRDefault="00E1709C" w:rsidP="00E1709C">
      <w:pPr>
        <w:pBdr>
          <w:top w:val="single" w:sz="4" w:space="1" w:color="auto"/>
          <w:left w:val="single" w:sz="4" w:space="4" w:color="auto"/>
          <w:bottom w:val="single" w:sz="4" w:space="1" w:color="auto"/>
          <w:right w:val="single" w:sz="4" w:space="4" w:color="auto"/>
        </w:pBdr>
        <w:rPr>
          <w:b/>
          <w:i/>
        </w:rPr>
      </w:pPr>
      <w:r w:rsidRPr="0076209C">
        <w:rPr>
          <w:i/>
        </w:rPr>
        <w:t xml:space="preserve">While we appreciate that a lot of the answers depend on the </w:t>
      </w:r>
      <w:r w:rsidR="002577AA" w:rsidRPr="0076209C">
        <w:rPr>
          <w:i/>
        </w:rPr>
        <w:t>dynamics of your stock</w:t>
      </w:r>
      <w:r w:rsidRPr="0076209C">
        <w:rPr>
          <w:i/>
        </w:rPr>
        <w:t xml:space="preserve">, can you please provide </w:t>
      </w:r>
      <w:r w:rsidR="002577AA" w:rsidRPr="0076209C">
        <w:rPr>
          <w:i/>
        </w:rPr>
        <w:t xml:space="preserve">your best guess/assumption </w:t>
      </w:r>
      <w:r w:rsidRPr="0076209C">
        <w:rPr>
          <w:i/>
        </w:rPr>
        <w:t xml:space="preserve">– many thanks. </w:t>
      </w:r>
    </w:p>
    <w:p w:rsidR="00A96F46" w:rsidRPr="002577AA" w:rsidRDefault="00A96F46" w:rsidP="00A96F46">
      <w:pPr>
        <w:rPr>
          <w:b/>
        </w:rPr>
      </w:pPr>
      <w:r w:rsidRPr="002577AA">
        <w:rPr>
          <w:b/>
        </w:rPr>
        <w:t>Reduction in the number of gas safety checks undertaken</w:t>
      </w:r>
    </w:p>
    <w:p w:rsidR="00A96F46" w:rsidRDefault="00A96F46" w:rsidP="00A96F46">
      <w:pPr>
        <w:pStyle w:val="ListParagraph"/>
        <w:numPr>
          <w:ilvl w:val="0"/>
          <w:numId w:val="1"/>
        </w:numPr>
      </w:pPr>
      <w:r w:rsidRPr="00B83A88">
        <w:t>How many weeks prior to the anniversary date of the landlord gas safety record do you commence your annual access programme (i.e. when does the first notification go out to tenants)?</w:t>
      </w:r>
    </w:p>
    <w:tbl>
      <w:tblPr>
        <w:tblStyle w:val="TableGrid"/>
        <w:tblW w:w="0" w:type="auto"/>
        <w:tblInd w:w="720" w:type="dxa"/>
        <w:tblLook w:val="04A0" w:firstRow="1" w:lastRow="0" w:firstColumn="1" w:lastColumn="0" w:noHBand="0" w:noVBand="1"/>
      </w:tblPr>
      <w:tblGrid>
        <w:gridCol w:w="4261"/>
        <w:gridCol w:w="4261"/>
      </w:tblGrid>
      <w:tr w:rsidR="00A96F46" w:rsidTr="00082C9B">
        <w:tc>
          <w:tcPr>
            <w:tcW w:w="4261" w:type="dxa"/>
          </w:tcPr>
          <w:p w:rsidR="00A96F46" w:rsidRPr="006C6456" w:rsidRDefault="00A96F46" w:rsidP="00082C9B">
            <w:r w:rsidRPr="006C6456">
              <w:t>Less than a week</w:t>
            </w:r>
          </w:p>
        </w:tc>
        <w:tc>
          <w:tcPr>
            <w:tcW w:w="4261" w:type="dxa"/>
          </w:tcPr>
          <w:p w:rsidR="00A96F46" w:rsidRPr="00483AB9" w:rsidRDefault="00A96F46" w:rsidP="00082C9B">
            <w:r w:rsidRPr="00483AB9">
              <w:t>6 weeks</w:t>
            </w:r>
          </w:p>
        </w:tc>
      </w:tr>
      <w:tr w:rsidR="00A96F46" w:rsidTr="00082C9B">
        <w:tc>
          <w:tcPr>
            <w:tcW w:w="4261" w:type="dxa"/>
          </w:tcPr>
          <w:p w:rsidR="00A96F46" w:rsidRPr="006C6456" w:rsidRDefault="00A96F46" w:rsidP="00082C9B">
            <w:r w:rsidRPr="006C6456">
              <w:t>1 week</w:t>
            </w:r>
          </w:p>
        </w:tc>
        <w:tc>
          <w:tcPr>
            <w:tcW w:w="4261" w:type="dxa"/>
          </w:tcPr>
          <w:p w:rsidR="00A96F46" w:rsidRPr="00483AB9" w:rsidRDefault="00A96F46" w:rsidP="00082C9B">
            <w:r w:rsidRPr="00483AB9">
              <w:t>7 weeks</w:t>
            </w:r>
          </w:p>
        </w:tc>
      </w:tr>
      <w:tr w:rsidR="00A96F46" w:rsidTr="00082C9B">
        <w:tc>
          <w:tcPr>
            <w:tcW w:w="4261" w:type="dxa"/>
          </w:tcPr>
          <w:p w:rsidR="00A96F46" w:rsidRPr="006C6456" w:rsidRDefault="00A96F46" w:rsidP="00082C9B">
            <w:r w:rsidRPr="006C6456">
              <w:t>2 weeks</w:t>
            </w:r>
          </w:p>
        </w:tc>
        <w:tc>
          <w:tcPr>
            <w:tcW w:w="4261" w:type="dxa"/>
          </w:tcPr>
          <w:p w:rsidR="00A96F46" w:rsidRPr="00483AB9" w:rsidRDefault="00A96F46" w:rsidP="00082C9B">
            <w:r w:rsidRPr="00483AB9">
              <w:t>8 weeks</w:t>
            </w:r>
          </w:p>
        </w:tc>
      </w:tr>
      <w:tr w:rsidR="00A96F46" w:rsidTr="00082C9B">
        <w:tc>
          <w:tcPr>
            <w:tcW w:w="4261" w:type="dxa"/>
          </w:tcPr>
          <w:p w:rsidR="00A96F46" w:rsidRPr="006C6456" w:rsidRDefault="00A96F46" w:rsidP="00082C9B">
            <w:r w:rsidRPr="006C6456">
              <w:t xml:space="preserve">3 weeks </w:t>
            </w:r>
          </w:p>
        </w:tc>
        <w:tc>
          <w:tcPr>
            <w:tcW w:w="4261" w:type="dxa"/>
          </w:tcPr>
          <w:p w:rsidR="00A96F46" w:rsidRPr="00483AB9" w:rsidRDefault="00A96F46" w:rsidP="00082C9B">
            <w:r w:rsidRPr="00483AB9">
              <w:t>9 weeks</w:t>
            </w:r>
          </w:p>
        </w:tc>
      </w:tr>
      <w:tr w:rsidR="00A96F46" w:rsidTr="00082C9B">
        <w:tc>
          <w:tcPr>
            <w:tcW w:w="4261" w:type="dxa"/>
          </w:tcPr>
          <w:p w:rsidR="00A96F46" w:rsidRPr="006C6456" w:rsidRDefault="00A96F46" w:rsidP="00082C9B">
            <w:r w:rsidRPr="006C6456">
              <w:t>4 weeks</w:t>
            </w:r>
          </w:p>
        </w:tc>
        <w:tc>
          <w:tcPr>
            <w:tcW w:w="4261" w:type="dxa"/>
          </w:tcPr>
          <w:p w:rsidR="00A96F46" w:rsidRPr="00483AB9" w:rsidRDefault="00A96F46" w:rsidP="00082C9B">
            <w:r w:rsidRPr="00483AB9">
              <w:t>10 weeks</w:t>
            </w:r>
          </w:p>
        </w:tc>
      </w:tr>
      <w:tr w:rsidR="00A96F46" w:rsidTr="00082C9B">
        <w:tc>
          <w:tcPr>
            <w:tcW w:w="4261" w:type="dxa"/>
          </w:tcPr>
          <w:p w:rsidR="00A96F46" w:rsidRPr="006C6456" w:rsidRDefault="00A96F46" w:rsidP="00082C9B">
            <w:r w:rsidRPr="006C6456">
              <w:t>5 weeks</w:t>
            </w:r>
          </w:p>
        </w:tc>
        <w:tc>
          <w:tcPr>
            <w:tcW w:w="4261" w:type="dxa"/>
          </w:tcPr>
          <w:p w:rsidR="00A96F46" w:rsidRPr="00483AB9" w:rsidRDefault="00A96F46" w:rsidP="00082C9B">
            <w:r w:rsidRPr="00483AB9">
              <w:t>Other</w:t>
            </w:r>
          </w:p>
        </w:tc>
      </w:tr>
    </w:tbl>
    <w:p w:rsidR="00A96F46" w:rsidRDefault="00A96F46" w:rsidP="00A96F46">
      <w:pPr>
        <w:pStyle w:val="ListParagraph"/>
      </w:pPr>
    </w:p>
    <w:p w:rsidR="00A96F46" w:rsidRPr="00B83A88" w:rsidRDefault="00A96F46" w:rsidP="00A96F46">
      <w:pPr>
        <w:pStyle w:val="ListParagraph"/>
        <w:numPr>
          <w:ilvl w:val="0"/>
          <w:numId w:val="1"/>
        </w:numPr>
      </w:pPr>
      <w:r w:rsidRPr="00B83A88">
        <w:t>How many weeks prior to the anniversary date of the landlord gas safety record do you first attempt to access the rental property?</w:t>
      </w:r>
    </w:p>
    <w:tbl>
      <w:tblPr>
        <w:tblStyle w:val="TableGrid"/>
        <w:tblW w:w="0" w:type="auto"/>
        <w:tblInd w:w="720" w:type="dxa"/>
        <w:tblLook w:val="04A0" w:firstRow="1" w:lastRow="0" w:firstColumn="1" w:lastColumn="0" w:noHBand="0" w:noVBand="1"/>
      </w:tblPr>
      <w:tblGrid>
        <w:gridCol w:w="4261"/>
        <w:gridCol w:w="4261"/>
      </w:tblGrid>
      <w:tr w:rsidR="00A96F46" w:rsidTr="00082C9B">
        <w:tc>
          <w:tcPr>
            <w:tcW w:w="4261" w:type="dxa"/>
          </w:tcPr>
          <w:p w:rsidR="00A96F46" w:rsidRPr="006C6456" w:rsidRDefault="00A96F46" w:rsidP="00082C9B">
            <w:r w:rsidRPr="006C6456">
              <w:t>Less than a week</w:t>
            </w:r>
          </w:p>
        </w:tc>
        <w:tc>
          <w:tcPr>
            <w:tcW w:w="4261" w:type="dxa"/>
          </w:tcPr>
          <w:p w:rsidR="00A96F46" w:rsidRPr="00483AB9" w:rsidRDefault="00A96F46" w:rsidP="00082C9B">
            <w:r w:rsidRPr="00483AB9">
              <w:t>6 weeks</w:t>
            </w:r>
          </w:p>
        </w:tc>
      </w:tr>
      <w:tr w:rsidR="00A96F46" w:rsidTr="00082C9B">
        <w:tc>
          <w:tcPr>
            <w:tcW w:w="4261" w:type="dxa"/>
          </w:tcPr>
          <w:p w:rsidR="00A96F46" w:rsidRPr="006C6456" w:rsidRDefault="00A96F46" w:rsidP="00082C9B">
            <w:r w:rsidRPr="006C6456">
              <w:t>1 week</w:t>
            </w:r>
          </w:p>
        </w:tc>
        <w:tc>
          <w:tcPr>
            <w:tcW w:w="4261" w:type="dxa"/>
          </w:tcPr>
          <w:p w:rsidR="00A96F46" w:rsidRPr="00483AB9" w:rsidRDefault="00A96F46" w:rsidP="00082C9B">
            <w:r w:rsidRPr="00483AB9">
              <w:t>7 weeks</w:t>
            </w:r>
          </w:p>
        </w:tc>
      </w:tr>
      <w:tr w:rsidR="00A96F46" w:rsidTr="00082C9B">
        <w:tc>
          <w:tcPr>
            <w:tcW w:w="4261" w:type="dxa"/>
          </w:tcPr>
          <w:p w:rsidR="00A96F46" w:rsidRPr="006C6456" w:rsidRDefault="00A96F46" w:rsidP="00082C9B">
            <w:r w:rsidRPr="006C6456">
              <w:t>2 weeks</w:t>
            </w:r>
          </w:p>
        </w:tc>
        <w:tc>
          <w:tcPr>
            <w:tcW w:w="4261" w:type="dxa"/>
          </w:tcPr>
          <w:p w:rsidR="00A96F46" w:rsidRPr="00483AB9" w:rsidRDefault="00A96F46" w:rsidP="00082C9B">
            <w:r w:rsidRPr="00483AB9">
              <w:t>8 weeks</w:t>
            </w:r>
          </w:p>
        </w:tc>
      </w:tr>
      <w:tr w:rsidR="00A96F46" w:rsidTr="00082C9B">
        <w:tc>
          <w:tcPr>
            <w:tcW w:w="4261" w:type="dxa"/>
          </w:tcPr>
          <w:p w:rsidR="00A96F46" w:rsidRPr="006C6456" w:rsidRDefault="00A96F46" w:rsidP="00082C9B">
            <w:r w:rsidRPr="006C6456">
              <w:t xml:space="preserve">3 weeks </w:t>
            </w:r>
          </w:p>
        </w:tc>
        <w:tc>
          <w:tcPr>
            <w:tcW w:w="4261" w:type="dxa"/>
          </w:tcPr>
          <w:p w:rsidR="00A96F46" w:rsidRPr="00483AB9" w:rsidRDefault="00A96F46" w:rsidP="00082C9B">
            <w:r w:rsidRPr="00483AB9">
              <w:t>9 weeks</w:t>
            </w:r>
          </w:p>
        </w:tc>
      </w:tr>
      <w:tr w:rsidR="00A96F46" w:rsidTr="00082C9B">
        <w:tc>
          <w:tcPr>
            <w:tcW w:w="4261" w:type="dxa"/>
          </w:tcPr>
          <w:p w:rsidR="00A96F46" w:rsidRPr="006C6456" w:rsidRDefault="00A96F46" w:rsidP="00082C9B">
            <w:r w:rsidRPr="006C6456">
              <w:t>4 weeks</w:t>
            </w:r>
          </w:p>
        </w:tc>
        <w:tc>
          <w:tcPr>
            <w:tcW w:w="4261" w:type="dxa"/>
          </w:tcPr>
          <w:p w:rsidR="00A96F46" w:rsidRPr="00483AB9" w:rsidRDefault="00A96F46" w:rsidP="00082C9B">
            <w:r w:rsidRPr="00483AB9">
              <w:t>10 weeks</w:t>
            </w:r>
          </w:p>
        </w:tc>
      </w:tr>
      <w:tr w:rsidR="00A96F46" w:rsidTr="00082C9B">
        <w:tc>
          <w:tcPr>
            <w:tcW w:w="4261" w:type="dxa"/>
          </w:tcPr>
          <w:p w:rsidR="00A96F46" w:rsidRPr="006C6456" w:rsidRDefault="00A96F46" w:rsidP="00082C9B">
            <w:r w:rsidRPr="006C6456">
              <w:t>5 weeks</w:t>
            </w:r>
          </w:p>
        </w:tc>
        <w:tc>
          <w:tcPr>
            <w:tcW w:w="4261" w:type="dxa"/>
          </w:tcPr>
          <w:p w:rsidR="00A96F46" w:rsidRPr="00483AB9" w:rsidRDefault="00A96F46" w:rsidP="00082C9B">
            <w:r w:rsidRPr="00483AB9">
              <w:t>Other</w:t>
            </w:r>
          </w:p>
        </w:tc>
      </w:tr>
    </w:tbl>
    <w:p w:rsidR="00A96F46" w:rsidRDefault="00A96F46" w:rsidP="00A96F46">
      <w:pPr>
        <w:pStyle w:val="ListParagraph"/>
      </w:pPr>
    </w:p>
    <w:p w:rsidR="00A96F46" w:rsidRDefault="00A96F46" w:rsidP="00A96F46">
      <w:pPr>
        <w:pStyle w:val="ListParagraph"/>
        <w:numPr>
          <w:ilvl w:val="0"/>
          <w:numId w:val="1"/>
        </w:numPr>
      </w:pPr>
      <w:r w:rsidRPr="00B83A88">
        <w:t>What is your estimated first time access success rate expressed as a percentage (%)?</w:t>
      </w:r>
    </w:p>
    <w:tbl>
      <w:tblPr>
        <w:tblStyle w:val="TableGrid"/>
        <w:tblW w:w="0" w:type="auto"/>
        <w:tblInd w:w="720" w:type="dxa"/>
        <w:tblLook w:val="04A0" w:firstRow="1" w:lastRow="0" w:firstColumn="1" w:lastColumn="0" w:noHBand="0" w:noVBand="1"/>
      </w:tblPr>
      <w:tblGrid>
        <w:gridCol w:w="4261"/>
        <w:gridCol w:w="4261"/>
      </w:tblGrid>
      <w:tr w:rsidR="00A96F46" w:rsidTr="00082C9B">
        <w:tc>
          <w:tcPr>
            <w:tcW w:w="4261" w:type="dxa"/>
          </w:tcPr>
          <w:p w:rsidR="00A96F46" w:rsidRPr="00390F83" w:rsidRDefault="00A96F46" w:rsidP="00082C9B">
            <w:r w:rsidRPr="00390F83">
              <w:t>0-9%</w:t>
            </w:r>
          </w:p>
        </w:tc>
        <w:tc>
          <w:tcPr>
            <w:tcW w:w="4261" w:type="dxa"/>
          </w:tcPr>
          <w:p w:rsidR="00A96F46" w:rsidRPr="00494354" w:rsidRDefault="00A96F46" w:rsidP="00082C9B">
            <w:r w:rsidRPr="00494354">
              <w:t>50-59%</w:t>
            </w:r>
          </w:p>
        </w:tc>
      </w:tr>
      <w:tr w:rsidR="00A96F46" w:rsidTr="00082C9B">
        <w:tc>
          <w:tcPr>
            <w:tcW w:w="4261" w:type="dxa"/>
          </w:tcPr>
          <w:p w:rsidR="00A96F46" w:rsidRPr="00390F83" w:rsidRDefault="00A96F46" w:rsidP="00082C9B">
            <w:r w:rsidRPr="00390F83">
              <w:t>10-19%</w:t>
            </w:r>
          </w:p>
        </w:tc>
        <w:tc>
          <w:tcPr>
            <w:tcW w:w="4261" w:type="dxa"/>
          </w:tcPr>
          <w:p w:rsidR="00A96F46" w:rsidRPr="00494354" w:rsidRDefault="00A96F46" w:rsidP="00082C9B">
            <w:r w:rsidRPr="00494354">
              <w:t>60-69%</w:t>
            </w:r>
          </w:p>
        </w:tc>
      </w:tr>
      <w:tr w:rsidR="00A96F46" w:rsidTr="00082C9B">
        <w:tc>
          <w:tcPr>
            <w:tcW w:w="4261" w:type="dxa"/>
          </w:tcPr>
          <w:p w:rsidR="00A96F46" w:rsidRPr="00390F83" w:rsidRDefault="00A96F46" w:rsidP="00082C9B">
            <w:r w:rsidRPr="00390F83">
              <w:t>20-29%</w:t>
            </w:r>
          </w:p>
        </w:tc>
        <w:tc>
          <w:tcPr>
            <w:tcW w:w="4261" w:type="dxa"/>
          </w:tcPr>
          <w:p w:rsidR="00A96F46" w:rsidRPr="00494354" w:rsidRDefault="00A96F46" w:rsidP="00082C9B">
            <w:r w:rsidRPr="00494354">
              <w:t>70-79%</w:t>
            </w:r>
          </w:p>
        </w:tc>
      </w:tr>
      <w:tr w:rsidR="00A96F46" w:rsidTr="00082C9B">
        <w:tc>
          <w:tcPr>
            <w:tcW w:w="4261" w:type="dxa"/>
          </w:tcPr>
          <w:p w:rsidR="00A96F46" w:rsidRPr="00390F83" w:rsidRDefault="00A96F46" w:rsidP="00082C9B">
            <w:r w:rsidRPr="00390F83">
              <w:t>30-39%</w:t>
            </w:r>
          </w:p>
        </w:tc>
        <w:tc>
          <w:tcPr>
            <w:tcW w:w="4261" w:type="dxa"/>
          </w:tcPr>
          <w:p w:rsidR="00A96F46" w:rsidRPr="00494354" w:rsidRDefault="00A96F46" w:rsidP="00082C9B">
            <w:r w:rsidRPr="00494354">
              <w:t>80-89%</w:t>
            </w:r>
          </w:p>
        </w:tc>
      </w:tr>
      <w:tr w:rsidR="00A96F46" w:rsidTr="00082C9B">
        <w:tc>
          <w:tcPr>
            <w:tcW w:w="4261" w:type="dxa"/>
          </w:tcPr>
          <w:p w:rsidR="00A96F46" w:rsidRPr="00390F83" w:rsidRDefault="00A96F46" w:rsidP="00082C9B">
            <w:r w:rsidRPr="00390F83">
              <w:t>40-49%</w:t>
            </w:r>
          </w:p>
        </w:tc>
        <w:tc>
          <w:tcPr>
            <w:tcW w:w="4261" w:type="dxa"/>
          </w:tcPr>
          <w:p w:rsidR="00A96F46" w:rsidRPr="00494354" w:rsidRDefault="00A96F46" w:rsidP="00082C9B">
            <w:r w:rsidRPr="00494354">
              <w:t>90-100%</w:t>
            </w:r>
          </w:p>
        </w:tc>
      </w:tr>
    </w:tbl>
    <w:p w:rsidR="00A96F46" w:rsidRPr="00B83A88" w:rsidRDefault="00A96F46" w:rsidP="00A96F46">
      <w:pPr>
        <w:pStyle w:val="ListParagraph"/>
      </w:pPr>
    </w:p>
    <w:p w:rsidR="00A96F46" w:rsidRDefault="00A96F46" w:rsidP="00A96F46">
      <w:pPr>
        <w:pStyle w:val="ListParagraph"/>
        <w:numPr>
          <w:ilvl w:val="0"/>
          <w:numId w:val="1"/>
        </w:numPr>
      </w:pPr>
      <w:r w:rsidRPr="00B83A88">
        <w:t xml:space="preserve">According to anecdotal figures from Corgi Technical Services, the average cost of an annual gas safety check in the social housing sector is </w:t>
      </w:r>
      <w:r>
        <w:t xml:space="preserve">around </w:t>
      </w:r>
      <w:r w:rsidRPr="00B83A88">
        <w:t>£60. What is the average cost of a Gas Safety Check and Certificate (CP12) in the private landlord sector?</w:t>
      </w:r>
    </w:p>
    <w:p w:rsidR="00A96F46" w:rsidRDefault="00A96F46" w:rsidP="00A96F46">
      <w:pPr>
        <w:pStyle w:val="ListParagraph"/>
      </w:pPr>
    </w:p>
    <w:tbl>
      <w:tblPr>
        <w:tblStyle w:val="TableGrid"/>
        <w:tblW w:w="0" w:type="auto"/>
        <w:tblInd w:w="720" w:type="dxa"/>
        <w:tblLook w:val="04A0" w:firstRow="1" w:lastRow="0" w:firstColumn="1" w:lastColumn="0" w:noHBand="0" w:noVBand="1"/>
      </w:tblPr>
      <w:tblGrid>
        <w:gridCol w:w="8522"/>
      </w:tblGrid>
      <w:tr w:rsidR="00A96F46" w:rsidTr="00082C9B">
        <w:tc>
          <w:tcPr>
            <w:tcW w:w="9242" w:type="dxa"/>
          </w:tcPr>
          <w:p w:rsidR="00A96F46" w:rsidRDefault="00A96F46" w:rsidP="00082C9B">
            <w:pPr>
              <w:pStyle w:val="ListParagraph"/>
              <w:ind w:left="0"/>
            </w:pPr>
            <w:r>
              <w:t>£</w:t>
            </w:r>
          </w:p>
        </w:tc>
      </w:tr>
    </w:tbl>
    <w:p w:rsidR="00A96F46" w:rsidRDefault="00A96F46" w:rsidP="00A96F46">
      <w:pPr>
        <w:pStyle w:val="ListParagraph"/>
      </w:pPr>
    </w:p>
    <w:p w:rsidR="00A96F46" w:rsidRDefault="00A96F46" w:rsidP="00A96F46">
      <w:pPr>
        <w:pStyle w:val="ListParagraph"/>
        <w:numPr>
          <w:ilvl w:val="0"/>
          <w:numId w:val="1"/>
        </w:numPr>
      </w:pPr>
      <w:r>
        <w:t>In terms of the average cost of a landlord gas safety check figure you’ve provided in response to question 7, i</w:t>
      </w:r>
      <w:r w:rsidRPr="00B83A88">
        <w:t xml:space="preserve">s this a flat rate figure (i.e. £60 for </w:t>
      </w:r>
      <w:r w:rsidRPr="002E45F0">
        <w:rPr>
          <w:i/>
        </w:rPr>
        <w:t>any</w:t>
      </w:r>
      <w:r w:rsidRPr="00B83A88">
        <w:t xml:space="preserve"> gas safety check and certificate) or is it the cost of the gas engineers time (</w:t>
      </w:r>
      <w:r>
        <w:t xml:space="preserve">i.e. </w:t>
      </w:r>
      <w:r w:rsidRPr="00B83A88">
        <w:t xml:space="preserve">for a longer job it will be more expensive)? Or is it </w:t>
      </w:r>
      <w:r>
        <w:t xml:space="preserve">based on </w:t>
      </w:r>
      <w:r w:rsidRPr="00B83A88">
        <w:t>something else</w:t>
      </w:r>
      <w:r>
        <w:t xml:space="preserve"> – please provide further details below:</w:t>
      </w:r>
    </w:p>
    <w:p w:rsidR="00A96F46" w:rsidRDefault="00A96F46" w:rsidP="00A96F46">
      <w:pPr>
        <w:pStyle w:val="ListParagraph"/>
      </w:pPr>
    </w:p>
    <w:tbl>
      <w:tblPr>
        <w:tblStyle w:val="TableGrid"/>
        <w:tblW w:w="0" w:type="auto"/>
        <w:tblInd w:w="720" w:type="dxa"/>
        <w:tblLook w:val="04A0" w:firstRow="1" w:lastRow="0" w:firstColumn="1" w:lastColumn="0" w:noHBand="0" w:noVBand="1"/>
      </w:tblPr>
      <w:tblGrid>
        <w:gridCol w:w="8522"/>
      </w:tblGrid>
      <w:tr w:rsidR="00A96F46" w:rsidTr="00082C9B">
        <w:tc>
          <w:tcPr>
            <w:tcW w:w="9242" w:type="dxa"/>
          </w:tcPr>
          <w:p w:rsidR="00A96F46" w:rsidRDefault="00A96F46" w:rsidP="00082C9B">
            <w:pPr>
              <w:pStyle w:val="ListParagraph"/>
              <w:ind w:left="0"/>
            </w:pPr>
          </w:p>
          <w:p w:rsidR="00A96F46" w:rsidRDefault="00A96F46" w:rsidP="00082C9B">
            <w:pPr>
              <w:pStyle w:val="ListParagraph"/>
              <w:ind w:left="0"/>
            </w:pPr>
          </w:p>
          <w:p w:rsidR="00A96F46" w:rsidRDefault="00A96F46" w:rsidP="00082C9B">
            <w:pPr>
              <w:pStyle w:val="ListParagraph"/>
              <w:ind w:left="0"/>
            </w:pPr>
          </w:p>
          <w:p w:rsidR="00A96F46" w:rsidRDefault="00A96F46" w:rsidP="00082C9B">
            <w:pPr>
              <w:pStyle w:val="ListParagraph"/>
              <w:ind w:left="0"/>
            </w:pPr>
          </w:p>
          <w:p w:rsidR="00A96F46" w:rsidRDefault="00A96F46" w:rsidP="00082C9B">
            <w:pPr>
              <w:pStyle w:val="ListParagraph"/>
              <w:ind w:left="0"/>
            </w:pPr>
          </w:p>
          <w:p w:rsidR="00A96F46" w:rsidRDefault="00A96F46" w:rsidP="00082C9B">
            <w:pPr>
              <w:pStyle w:val="ListParagraph"/>
              <w:ind w:left="0"/>
            </w:pPr>
          </w:p>
        </w:tc>
      </w:tr>
    </w:tbl>
    <w:p w:rsidR="00A96F46" w:rsidRDefault="00A96F46">
      <w:pPr>
        <w:rPr>
          <w:b/>
        </w:rPr>
      </w:pPr>
    </w:p>
    <w:p w:rsidR="00BE3B57" w:rsidRDefault="00BE3B57">
      <w:pPr>
        <w:rPr>
          <w:b/>
        </w:rPr>
      </w:pPr>
      <w:r>
        <w:rPr>
          <w:b/>
        </w:rPr>
        <w:t>Arranging landlord gas safety checks</w:t>
      </w:r>
    </w:p>
    <w:p w:rsidR="00BE3B57" w:rsidRPr="00B82D10" w:rsidRDefault="00B82D10" w:rsidP="00BE3B57">
      <w:pPr>
        <w:pStyle w:val="ListParagraph"/>
        <w:numPr>
          <w:ilvl w:val="0"/>
          <w:numId w:val="1"/>
        </w:numPr>
      </w:pPr>
      <w:r>
        <w:t>In general, h</w:t>
      </w:r>
      <w:r w:rsidR="00BE3B57" w:rsidRPr="00B82D10">
        <w:t>ow do private landlords purchase their annual landlord gas safety check?</w:t>
      </w:r>
    </w:p>
    <w:tbl>
      <w:tblPr>
        <w:tblStyle w:val="TableGrid"/>
        <w:tblW w:w="0" w:type="auto"/>
        <w:tblInd w:w="675" w:type="dxa"/>
        <w:tblLook w:val="04A0" w:firstRow="1" w:lastRow="0" w:firstColumn="1" w:lastColumn="0" w:noHBand="0" w:noVBand="1"/>
      </w:tblPr>
      <w:tblGrid>
        <w:gridCol w:w="4283"/>
        <w:gridCol w:w="4284"/>
      </w:tblGrid>
      <w:tr w:rsidR="00B82D10" w:rsidRPr="00B82D10" w:rsidTr="00B82D10">
        <w:tc>
          <w:tcPr>
            <w:tcW w:w="4283" w:type="dxa"/>
          </w:tcPr>
          <w:p w:rsidR="00B82D10" w:rsidRPr="00B82D10" w:rsidRDefault="00B82D10" w:rsidP="00B82D10">
            <w:r w:rsidRPr="00B82D10">
              <w:t xml:space="preserve">Arrange directly with gas engineer </w:t>
            </w:r>
          </w:p>
        </w:tc>
        <w:tc>
          <w:tcPr>
            <w:tcW w:w="4284" w:type="dxa"/>
          </w:tcPr>
          <w:p w:rsidR="00B82D10" w:rsidRPr="00B82D10" w:rsidRDefault="00520BFA" w:rsidP="00520BFA">
            <w:r>
              <w:t xml:space="preserve">Included </w:t>
            </w:r>
            <w:r w:rsidR="00B82D10" w:rsidRPr="00B82D10">
              <w:t>as part of a service contract</w:t>
            </w:r>
          </w:p>
        </w:tc>
      </w:tr>
      <w:tr w:rsidR="00B82D10" w:rsidRPr="00B82D10" w:rsidTr="00B82D10">
        <w:tc>
          <w:tcPr>
            <w:tcW w:w="4283" w:type="dxa"/>
          </w:tcPr>
          <w:p w:rsidR="00B82D10" w:rsidRPr="00B82D10" w:rsidRDefault="00520BFA" w:rsidP="00B57A26">
            <w:r>
              <w:t xml:space="preserve">Arrange </w:t>
            </w:r>
            <w:r w:rsidR="00B82D10" w:rsidRPr="00B82D10">
              <w:t>via letting agent</w:t>
            </w:r>
          </w:p>
        </w:tc>
        <w:tc>
          <w:tcPr>
            <w:tcW w:w="4284" w:type="dxa"/>
          </w:tcPr>
          <w:p w:rsidR="00B82D10" w:rsidRPr="00B82D10" w:rsidRDefault="00B82D10" w:rsidP="00B82D10">
            <w:r w:rsidRPr="00B82D10">
              <w:t>Other (please specify below)</w:t>
            </w:r>
          </w:p>
        </w:tc>
      </w:tr>
    </w:tbl>
    <w:p w:rsidR="00BE3B57" w:rsidRDefault="00BE3B57">
      <w:pPr>
        <w:rPr>
          <w:b/>
        </w:rPr>
      </w:pPr>
    </w:p>
    <w:p w:rsidR="003253DA" w:rsidRPr="00B83A88" w:rsidRDefault="003253DA">
      <w:pPr>
        <w:rPr>
          <w:b/>
        </w:rPr>
      </w:pPr>
      <w:r w:rsidRPr="00B83A88">
        <w:rPr>
          <w:b/>
        </w:rPr>
        <w:t>Programme Slippage</w:t>
      </w:r>
    </w:p>
    <w:p w:rsidR="003253DA" w:rsidRDefault="003253DA" w:rsidP="003253DA">
      <w:pPr>
        <w:pStyle w:val="ListParagraph"/>
        <w:numPr>
          <w:ilvl w:val="0"/>
          <w:numId w:val="1"/>
        </w:numPr>
      </w:pPr>
      <w:r w:rsidRPr="00B83A88">
        <w:t>Figures provided by Corgi Technical Services suggest that there are costs associated with unsuccessful attempts to undertake annual gas safety check</w:t>
      </w:r>
      <w:r w:rsidR="00E1709C">
        <w:t>s at social housing properties. Based on your knowledge, a</w:t>
      </w:r>
      <w:r w:rsidRPr="00B83A88">
        <w:t>re similar sort of ‘programme slippage’ costs experienced in the private landlord sector?</w:t>
      </w:r>
    </w:p>
    <w:p w:rsidR="00E1709C" w:rsidRDefault="00E1709C" w:rsidP="00E1709C">
      <w:pPr>
        <w:pStyle w:val="ListParagraph"/>
      </w:pPr>
    </w:p>
    <w:tbl>
      <w:tblPr>
        <w:tblStyle w:val="TableGrid"/>
        <w:tblW w:w="0" w:type="auto"/>
        <w:tblInd w:w="720" w:type="dxa"/>
        <w:tblLook w:val="04A0" w:firstRow="1" w:lastRow="0" w:firstColumn="1" w:lastColumn="0" w:noHBand="0" w:noVBand="1"/>
      </w:tblPr>
      <w:tblGrid>
        <w:gridCol w:w="2830"/>
        <w:gridCol w:w="2827"/>
        <w:gridCol w:w="2865"/>
      </w:tblGrid>
      <w:tr w:rsidR="00E1709C" w:rsidTr="00E1709C">
        <w:tc>
          <w:tcPr>
            <w:tcW w:w="3080" w:type="dxa"/>
          </w:tcPr>
          <w:p w:rsidR="00E1709C" w:rsidRDefault="00E1709C" w:rsidP="00E1709C">
            <w:pPr>
              <w:pStyle w:val="ListParagraph"/>
              <w:ind w:left="0"/>
            </w:pPr>
            <w:r>
              <w:t>Yes</w:t>
            </w:r>
          </w:p>
        </w:tc>
        <w:tc>
          <w:tcPr>
            <w:tcW w:w="3081" w:type="dxa"/>
          </w:tcPr>
          <w:p w:rsidR="00E1709C" w:rsidRDefault="00E1709C" w:rsidP="00E1709C">
            <w:pPr>
              <w:pStyle w:val="ListParagraph"/>
              <w:ind w:left="0"/>
            </w:pPr>
            <w:r>
              <w:t>No</w:t>
            </w:r>
          </w:p>
        </w:tc>
        <w:tc>
          <w:tcPr>
            <w:tcW w:w="3081" w:type="dxa"/>
          </w:tcPr>
          <w:p w:rsidR="00E1709C" w:rsidRDefault="00E1709C" w:rsidP="00E1709C">
            <w:pPr>
              <w:pStyle w:val="ListParagraph"/>
              <w:ind w:left="0"/>
            </w:pPr>
            <w:r>
              <w:t>Unsure</w:t>
            </w:r>
          </w:p>
        </w:tc>
      </w:tr>
    </w:tbl>
    <w:p w:rsidR="00E1709C" w:rsidRDefault="00E1709C" w:rsidP="00E1709C">
      <w:pPr>
        <w:pStyle w:val="ListParagraph"/>
      </w:pPr>
    </w:p>
    <w:p w:rsidR="00C0633B" w:rsidRDefault="00A96F46" w:rsidP="00E1709C">
      <w:pPr>
        <w:pStyle w:val="ListParagraph"/>
        <w:numPr>
          <w:ilvl w:val="0"/>
          <w:numId w:val="1"/>
        </w:numPr>
      </w:pPr>
      <w:r>
        <w:t xml:space="preserve">A large social housing provider has indicated that the cost of a wasted visit for a gas engineer is £41 – do you think the figures for the </w:t>
      </w:r>
      <w:r w:rsidR="00C0633B">
        <w:t>private landlord sector are higher, about the same or lower?</w:t>
      </w:r>
    </w:p>
    <w:tbl>
      <w:tblPr>
        <w:tblStyle w:val="TableGrid"/>
        <w:tblW w:w="0" w:type="auto"/>
        <w:tblInd w:w="675" w:type="dxa"/>
        <w:tblLook w:val="04A0" w:firstRow="1" w:lastRow="0" w:firstColumn="1" w:lastColumn="0" w:noHBand="0" w:noVBand="1"/>
      </w:tblPr>
      <w:tblGrid>
        <w:gridCol w:w="1713"/>
        <w:gridCol w:w="1713"/>
        <w:gridCol w:w="1714"/>
        <w:gridCol w:w="1713"/>
        <w:gridCol w:w="1714"/>
      </w:tblGrid>
      <w:tr w:rsidR="00C0633B" w:rsidTr="00085978">
        <w:tc>
          <w:tcPr>
            <w:tcW w:w="1713" w:type="dxa"/>
          </w:tcPr>
          <w:p w:rsidR="00C0633B" w:rsidRDefault="00C0633B" w:rsidP="00C0633B">
            <w:r>
              <w:t>Higher</w:t>
            </w:r>
          </w:p>
        </w:tc>
        <w:tc>
          <w:tcPr>
            <w:tcW w:w="1713" w:type="dxa"/>
          </w:tcPr>
          <w:p w:rsidR="00C0633B" w:rsidRDefault="00C0633B" w:rsidP="00C0633B">
            <w:r>
              <w:t>About the same</w:t>
            </w:r>
          </w:p>
        </w:tc>
        <w:tc>
          <w:tcPr>
            <w:tcW w:w="1714" w:type="dxa"/>
          </w:tcPr>
          <w:p w:rsidR="00C0633B" w:rsidRDefault="00C0633B" w:rsidP="00C0633B">
            <w:r>
              <w:t>Lower</w:t>
            </w:r>
          </w:p>
        </w:tc>
        <w:tc>
          <w:tcPr>
            <w:tcW w:w="1713" w:type="dxa"/>
          </w:tcPr>
          <w:p w:rsidR="00C0633B" w:rsidRDefault="00C0633B" w:rsidP="00C0633B">
            <w:r>
              <w:t>N/A</w:t>
            </w:r>
          </w:p>
        </w:tc>
        <w:tc>
          <w:tcPr>
            <w:tcW w:w="1714" w:type="dxa"/>
          </w:tcPr>
          <w:p w:rsidR="00C0633B" w:rsidRDefault="00C0633B" w:rsidP="00C0633B">
            <w:r>
              <w:t>Unsure</w:t>
            </w:r>
          </w:p>
        </w:tc>
      </w:tr>
    </w:tbl>
    <w:p w:rsidR="00C0633B" w:rsidRDefault="00C0633B" w:rsidP="0099143D">
      <w:pPr>
        <w:ind w:left="360"/>
      </w:pPr>
    </w:p>
    <w:p w:rsidR="00C0633B" w:rsidRDefault="00C0633B" w:rsidP="0099143D">
      <w:pPr>
        <w:ind w:left="360" w:firstLine="360"/>
      </w:pPr>
      <w:r>
        <w:t>If you’ve indicated ‘higher’ or ‘lower’, please indicate by how much?</w:t>
      </w:r>
    </w:p>
    <w:tbl>
      <w:tblPr>
        <w:tblStyle w:val="TableGrid"/>
        <w:tblW w:w="0" w:type="auto"/>
        <w:tblInd w:w="675" w:type="dxa"/>
        <w:tblLook w:val="04A0" w:firstRow="1" w:lastRow="0" w:firstColumn="1" w:lastColumn="0" w:noHBand="0" w:noVBand="1"/>
      </w:tblPr>
      <w:tblGrid>
        <w:gridCol w:w="4283"/>
        <w:gridCol w:w="4284"/>
      </w:tblGrid>
      <w:tr w:rsidR="00C0633B" w:rsidTr="00085978">
        <w:tc>
          <w:tcPr>
            <w:tcW w:w="4283" w:type="dxa"/>
          </w:tcPr>
          <w:p w:rsidR="00C0633B" w:rsidRDefault="00C0633B" w:rsidP="00C0633B">
            <w:r>
              <w:t>Less than £5</w:t>
            </w:r>
          </w:p>
        </w:tc>
        <w:tc>
          <w:tcPr>
            <w:tcW w:w="4284" w:type="dxa"/>
          </w:tcPr>
          <w:p w:rsidR="00C0633B" w:rsidRDefault="00C0633B" w:rsidP="00C0633B">
            <w:r>
              <w:t>£16 to £20</w:t>
            </w:r>
          </w:p>
        </w:tc>
      </w:tr>
      <w:tr w:rsidR="00C0633B" w:rsidTr="00085978">
        <w:tc>
          <w:tcPr>
            <w:tcW w:w="4283" w:type="dxa"/>
          </w:tcPr>
          <w:p w:rsidR="00C0633B" w:rsidRDefault="00C0633B" w:rsidP="00C0633B">
            <w:r>
              <w:t>£5 to £10</w:t>
            </w:r>
          </w:p>
        </w:tc>
        <w:tc>
          <w:tcPr>
            <w:tcW w:w="4284" w:type="dxa"/>
          </w:tcPr>
          <w:p w:rsidR="00C0633B" w:rsidRDefault="00C0633B" w:rsidP="00C0633B">
            <w:r>
              <w:t>£21 to £25</w:t>
            </w:r>
          </w:p>
        </w:tc>
      </w:tr>
      <w:tr w:rsidR="00C0633B" w:rsidTr="00085978">
        <w:tc>
          <w:tcPr>
            <w:tcW w:w="4283" w:type="dxa"/>
          </w:tcPr>
          <w:p w:rsidR="00C0633B" w:rsidRDefault="00C0633B" w:rsidP="00C0633B">
            <w:r>
              <w:t>£11 to £15</w:t>
            </w:r>
          </w:p>
        </w:tc>
        <w:tc>
          <w:tcPr>
            <w:tcW w:w="4284" w:type="dxa"/>
          </w:tcPr>
          <w:p w:rsidR="00C0633B" w:rsidRDefault="00C0633B" w:rsidP="00C0633B">
            <w:r>
              <w:t>More than £25</w:t>
            </w:r>
          </w:p>
        </w:tc>
      </w:tr>
    </w:tbl>
    <w:p w:rsidR="00C0633B" w:rsidRDefault="00C0633B" w:rsidP="0099143D">
      <w:pPr>
        <w:ind w:left="360"/>
      </w:pPr>
    </w:p>
    <w:p w:rsidR="00C0633B" w:rsidRDefault="00C0633B" w:rsidP="0099143D">
      <w:pPr>
        <w:pStyle w:val="ListParagraph"/>
        <w:numPr>
          <w:ilvl w:val="0"/>
          <w:numId w:val="1"/>
        </w:numPr>
      </w:pPr>
      <w:r>
        <w:t>The same social housing provider also indicated that the administration costs of a wasted landlord gas safety check is about £23 - do you think the figures for the private landlord sector are higher, about the same or lower?</w:t>
      </w:r>
    </w:p>
    <w:tbl>
      <w:tblPr>
        <w:tblStyle w:val="TableGrid"/>
        <w:tblW w:w="0" w:type="auto"/>
        <w:tblInd w:w="675" w:type="dxa"/>
        <w:tblLook w:val="04A0" w:firstRow="1" w:lastRow="0" w:firstColumn="1" w:lastColumn="0" w:noHBand="0" w:noVBand="1"/>
      </w:tblPr>
      <w:tblGrid>
        <w:gridCol w:w="1713"/>
        <w:gridCol w:w="1713"/>
        <w:gridCol w:w="1714"/>
        <w:gridCol w:w="1713"/>
        <w:gridCol w:w="1714"/>
      </w:tblGrid>
      <w:tr w:rsidR="00C0633B" w:rsidTr="00085978">
        <w:tc>
          <w:tcPr>
            <w:tcW w:w="1713" w:type="dxa"/>
          </w:tcPr>
          <w:p w:rsidR="00C0633B" w:rsidRDefault="00C0633B" w:rsidP="00082C9B">
            <w:r>
              <w:t>Higher</w:t>
            </w:r>
          </w:p>
        </w:tc>
        <w:tc>
          <w:tcPr>
            <w:tcW w:w="1713" w:type="dxa"/>
          </w:tcPr>
          <w:p w:rsidR="00C0633B" w:rsidRDefault="00C0633B" w:rsidP="00082C9B">
            <w:r>
              <w:t>About the same</w:t>
            </w:r>
          </w:p>
        </w:tc>
        <w:tc>
          <w:tcPr>
            <w:tcW w:w="1714" w:type="dxa"/>
          </w:tcPr>
          <w:p w:rsidR="00C0633B" w:rsidRDefault="00C0633B" w:rsidP="00082C9B">
            <w:r>
              <w:t>Lower</w:t>
            </w:r>
          </w:p>
        </w:tc>
        <w:tc>
          <w:tcPr>
            <w:tcW w:w="1713" w:type="dxa"/>
          </w:tcPr>
          <w:p w:rsidR="00C0633B" w:rsidRDefault="00C0633B" w:rsidP="00082C9B">
            <w:r>
              <w:t>N/A</w:t>
            </w:r>
          </w:p>
        </w:tc>
        <w:tc>
          <w:tcPr>
            <w:tcW w:w="1714" w:type="dxa"/>
          </w:tcPr>
          <w:p w:rsidR="00C0633B" w:rsidRDefault="00C0633B" w:rsidP="00082C9B">
            <w:r>
              <w:t>Unsure</w:t>
            </w:r>
          </w:p>
        </w:tc>
      </w:tr>
    </w:tbl>
    <w:p w:rsidR="00C0633B" w:rsidRDefault="00C0633B" w:rsidP="00C0633B">
      <w:pPr>
        <w:ind w:left="360"/>
      </w:pPr>
    </w:p>
    <w:p w:rsidR="00C0633B" w:rsidRDefault="00C0633B" w:rsidP="0099143D">
      <w:pPr>
        <w:ind w:left="360" w:firstLine="360"/>
      </w:pPr>
      <w:r>
        <w:t>If you’ve indicated ‘higher’ or ‘lower’, please indicate by how much?</w:t>
      </w:r>
    </w:p>
    <w:tbl>
      <w:tblPr>
        <w:tblStyle w:val="TableGrid"/>
        <w:tblW w:w="0" w:type="auto"/>
        <w:tblInd w:w="675" w:type="dxa"/>
        <w:tblLook w:val="04A0" w:firstRow="1" w:lastRow="0" w:firstColumn="1" w:lastColumn="0" w:noHBand="0" w:noVBand="1"/>
      </w:tblPr>
      <w:tblGrid>
        <w:gridCol w:w="4283"/>
        <w:gridCol w:w="4284"/>
      </w:tblGrid>
      <w:tr w:rsidR="00C0633B" w:rsidTr="00085978">
        <w:tc>
          <w:tcPr>
            <w:tcW w:w="4283" w:type="dxa"/>
          </w:tcPr>
          <w:p w:rsidR="00C0633B" w:rsidRDefault="00C0633B" w:rsidP="00082C9B">
            <w:r>
              <w:t>Less than £5</w:t>
            </w:r>
          </w:p>
        </w:tc>
        <w:tc>
          <w:tcPr>
            <w:tcW w:w="4284" w:type="dxa"/>
          </w:tcPr>
          <w:p w:rsidR="00C0633B" w:rsidRDefault="00C0633B" w:rsidP="00082C9B">
            <w:r>
              <w:t>£16 to £20</w:t>
            </w:r>
          </w:p>
        </w:tc>
      </w:tr>
      <w:tr w:rsidR="00C0633B" w:rsidTr="00085978">
        <w:tc>
          <w:tcPr>
            <w:tcW w:w="4283" w:type="dxa"/>
          </w:tcPr>
          <w:p w:rsidR="00C0633B" w:rsidRDefault="00C0633B" w:rsidP="00082C9B">
            <w:r>
              <w:t>£5 to £10</w:t>
            </w:r>
          </w:p>
        </w:tc>
        <w:tc>
          <w:tcPr>
            <w:tcW w:w="4284" w:type="dxa"/>
          </w:tcPr>
          <w:p w:rsidR="00C0633B" w:rsidRDefault="00C0633B" w:rsidP="00082C9B">
            <w:r>
              <w:t>£21 to £25</w:t>
            </w:r>
          </w:p>
        </w:tc>
      </w:tr>
      <w:tr w:rsidR="00C0633B" w:rsidTr="00085978">
        <w:tc>
          <w:tcPr>
            <w:tcW w:w="4283" w:type="dxa"/>
          </w:tcPr>
          <w:p w:rsidR="00C0633B" w:rsidRDefault="00C0633B" w:rsidP="00082C9B">
            <w:r>
              <w:t>£11 to £15</w:t>
            </w:r>
          </w:p>
        </w:tc>
        <w:tc>
          <w:tcPr>
            <w:tcW w:w="4284" w:type="dxa"/>
          </w:tcPr>
          <w:p w:rsidR="00C0633B" w:rsidRDefault="00C0633B" w:rsidP="00082C9B">
            <w:r>
              <w:t>More than £25</w:t>
            </w:r>
          </w:p>
        </w:tc>
      </w:tr>
    </w:tbl>
    <w:p w:rsidR="0099143D" w:rsidRDefault="0099143D" w:rsidP="0099143D">
      <w:pPr>
        <w:ind w:left="720"/>
      </w:pPr>
    </w:p>
    <w:p w:rsidR="00E1709C" w:rsidRDefault="00A415E5" w:rsidP="0099143D">
      <w:pPr>
        <w:pStyle w:val="ListParagraph"/>
        <w:numPr>
          <w:ilvl w:val="0"/>
          <w:numId w:val="1"/>
        </w:numPr>
      </w:pPr>
      <w:r w:rsidRPr="00B83A88">
        <w:lastRenderedPageBreak/>
        <w:t>Are there any other costs associated with programme slippage in the private landlord sector</w:t>
      </w:r>
      <w:r w:rsidR="00E1709C">
        <w:t xml:space="preserve"> – please provide details below:</w:t>
      </w:r>
    </w:p>
    <w:tbl>
      <w:tblPr>
        <w:tblStyle w:val="TableGrid"/>
        <w:tblW w:w="0" w:type="auto"/>
        <w:tblInd w:w="675" w:type="dxa"/>
        <w:tblLook w:val="04A0" w:firstRow="1" w:lastRow="0" w:firstColumn="1" w:lastColumn="0" w:noHBand="0" w:noVBand="1"/>
      </w:tblPr>
      <w:tblGrid>
        <w:gridCol w:w="8567"/>
      </w:tblGrid>
      <w:tr w:rsidR="0076209C" w:rsidTr="0076209C">
        <w:tc>
          <w:tcPr>
            <w:tcW w:w="8567" w:type="dxa"/>
          </w:tcPr>
          <w:p w:rsidR="0076209C" w:rsidRDefault="0076209C" w:rsidP="0076209C"/>
          <w:p w:rsidR="0076209C" w:rsidRDefault="0076209C" w:rsidP="0076209C"/>
          <w:p w:rsidR="0076209C" w:rsidRDefault="0076209C" w:rsidP="0076209C"/>
          <w:p w:rsidR="0076209C" w:rsidRDefault="0076209C" w:rsidP="0076209C"/>
          <w:p w:rsidR="0076209C" w:rsidRDefault="0076209C" w:rsidP="0076209C"/>
        </w:tc>
      </w:tr>
    </w:tbl>
    <w:p w:rsidR="0076209C" w:rsidRDefault="0076209C" w:rsidP="0076209C">
      <w:pPr>
        <w:ind w:left="1080"/>
      </w:pPr>
    </w:p>
    <w:p w:rsidR="00A415E5" w:rsidRPr="00B83A88" w:rsidRDefault="00A415E5" w:rsidP="003253DA">
      <w:pPr>
        <w:rPr>
          <w:b/>
        </w:rPr>
      </w:pPr>
      <w:r w:rsidRPr="00B83A88">
        <w:rPr>
          <w:b/>
        </w:rPr>
        <w:t>Logistical savings</w:t>
      </w:r>
    </w:p>
    <w:p w:rsidR="00A415E5" w:rsidRPr="00B83A88" w:rsidRDefault="00B83A88" w:rsidP="0099143D">
      <w:pPr>
        <w:pStyle w:val="ListParagraph"/>
        <w:numPr>
          <w:ilvl w:val="0"/>
          <w:numId w:val="1"/>
        </w:numPr>
      </w:pPr>
      <w:r>
        <w:t>Again, figures for the social housing sector</w:t>
      </w:r>
      <w:r w:rsidR="00A032DC">
        <w:rPr>
          <w:rStyle w:val="FootnoteReference"/>
        </w:rPr>
        <w:footnoteReference w:id="1"/>
      </w:r>
      <w:r>
        <w:t xml:space="preserve"> indicate that lost time costs are incurred due to </w:t>
      </w:r>
      <w:r w:rsidR="00A415E5" w:rsidRPr="00B83A88">
        <w:t xml:space="preserve">engineers </w:t>
      </w:r>
      <w:proofErr w:type="spellStart"/>
      <w:r w:rsidR="00A415E5" w:rsidRPr="00B83A88">
        <w:t>zig</w:t>
      </w:r>
      <w:r w:rsidR="00796B59">
        <w:t>-</w:t>
      </w:r>
      <w:r w:rsidR="00A415E5" w:rsidRPr="00B83A88">
        <w:t>zagging</w:t>
      </w:r>
      <w:proofErr w:type="spellEnd"/>
      <w:r w:rsidR="00A415E5" w:rsidRPr="00B83A88">
        <w:t xml:space="preserve"> across towns and cities </w:t>
      </w:r>
      <w:r>
        <w:t xml:space="preserve">in order to meet </w:t>
      </w:r>
      <w:r w:rsidR="00A415E5" w:rsidRPr="00B83A88">
        <w:t xml:space="preserve">differing </w:t>
      </w:r>
      <w:r>
        <w:t xml:space="preserve">landlord gas safety check </w:t>
      </w:r>
      <w:r w:rsidR="00A415E5" w:rsidRPr="00B83A88">
        <w:t xml:space="preserve">dates.  </w:t>
      </w:r>
      <w:r>
        <w:t>In your experience</w:t>
      </w:r>
      <w:r w:rsidR="00796B59">
        <w:t>,</w:t>
      </w:r>
      <w:r>
        <w:t xml:space="preserve"> what is t</w:t>
      </w:r>
      <w:r w:rsidR="00A415E5" w:rsidRPr="00B83A88">
        <w:t xml:space="preserve">he optimum number of </w:t>
      </w:r>
      <w:r>
        <w:t>landlord gas safety checks which can be undertaken i</w:t>
      </w:r>
      <w:r w:rsidR="00A415E5" w:rsidRPr="00B83A88">
        <w:t>f addresses were grouped together, compared to what the average might look like under the current regime</w:t>
      </w:r>
      <w:r>
        <w:t xml:space="preserve"> (</w:t>
      </w:r>
      <w:r w:rsidR="0099143D">
        <w:t xml:space="preserve">for example, responses from social landlords indicate that </w:t>
      </w:r>
      <w:r w:rsidRPr="0099143D">
        <w:t xml:space="preserve">with the more flexible 10 to 12 month MOT-type scheme, engineers can visit 9 </w:t>
      </w:r>
      <w:r w:rsidR="002577AA" w:rsidRPr="0099143D">
        <w:t>properties</w:t>
      </w:r>
      <w:r w:rsidRPr="0099143D">
        <w:t xml:space="preserve"> in a day compared to only 6 under the current system</w:t>
      </w:r>
      <w:r w:rsidR="0099143D">
        <w:t>)</w:t>
      </w:r>
      <w:r w:rsidR="002577AA" w:rsidRPr="0099143D">
        <w:t>?</w:t>
      </w:r>
      <w:r w:rsidR="002577AA">
        <w:t xml:space="preserve"> So, what is the: </w:t>
      </w:r>
    </w:p>
    <w:p w:rsidR="0076209C" w:rsidRDefault="00A415E5" w:rsidP="00C0633B">
      <w:pPr>
        <w:pStyle w:val="ListParagraph"/>
        <w:numPr>
          <w:ilvl w:val="1"/>
          <w:numId w:val="13"/>
        </w:numPr>
      </w:pPr>
      <w:r w:rsidRPr="00B83A88">
        <w:t xml:space="preserve">Average number of </w:t>
      </w:r>
      <w:r w:rsidR="002577AA">
        <w:t xml:space="preserve">landlord gas safety checks </w:t>
      </w:r>
      <w:r w:rsidRPr="00B83A88">
        <w:t>per day when properties are in the same street</w:t>
      </w:r>
    </w:p>
    <w:tbl>
      <w:tblPr>
        <w:tblStyle w:val="TableGrid"/>
        <w:tblW w:w="0" w:type="auto"/>
        <w:tblInd w:w="675" w:type="dxa"/>
        <w:tblLook w:val="04A0" w:firstRow="1" w:lastRow="0" w:firstColumn="1" w:lastColumn="0" w:noHBand="0" w:noVBand="1"/>
      </w:tblPr>
      <w:tblGrid>
        <w:gridCol w:w="8567"/>
      </w:tblGrid>
      <w:tr w:rsidR="0076209C" w:rsidTr="0076209C">
        <w:tc>
          <w:tcPr>
            <w:tcW w:w="8567" w:type="dxa"/>
          </w:tcPr>
          <w:p w:rsidR="0076209C" w:rsidRDefault="0076209C" w:rsidP="0076209C"/>
        </w:tc>
      </w:tr>
    </w:tbl>
    <w:p w:rsidR="0076209C" w:rsidRDefault="0076209C" w:rsidP="0076209C"/>
    <w:p w:rsidR="00A415E5" w:rsidRDefault="00A415E5" w:rsidP="00C0633B">
      <w:pPr>
        <w:pStyle w:val="ListParagraph"/>
        <w:numPr>
          <w:ilvl w:val="1"/>
          <w:numId w:val="13"/>
        </w:numPr>
      </w:pPr>
      <w:r w:rsidRPr="00B83A88">
        <w:t>Average number when scattered around as they currently are</w:t>
      </w:r>
      <w:r w:rsidR="002577AA">
        <w:t>?</w:t>
      </w:r>
    </w:p>
    <w:tbl>
      <w:tblPr>
        <w:tblStyle w:val="TableGrid"/>
        <w:tblW w:w="0" w:type="auto"/>
        <w:tblInd w:w="675" w:type="dxa"/>
        <w:tblLook w:val="04A0" w:firstRow="1" w:lastRow="0" w:firstColumn="1" w:lastColumn="0" w:noHBand="0" w:noVBand="1"/>
      </w:tblPr>
      <w:tblGrid>
        <w:gridCol w:w="8567"/>
      </w:tblGrid>
      <w:tr w:rsidR="0076209C" w:rsidTr="0076209C">
        <w:tc>
          <w:tcPr>
            <w:tcW w:w="8567" w:type="dxa"/>
          </w:tcPr>
          <w:p w:rsidR="0076209C" w:rsidRDefault="0076209C" w:rsidP="0076209C"/>
        </w:tc>
      </w:tr>
    </w:tbl>
    <w:p w:rsidR="0076209C" w:rsidRDefault="0076209C" w:rsidP="00A415E5">
      <w:pPr>
        <w:rPr>
          <w:b/>
        </w:rPr>
      </w:pPr>
    </w:p>
    <w:p w:rsidR="00A415E5" w:rsidRPr="002577AA" w:rsidRDefault="00991E40" w:rsidP="00A415E5">
      <w:pPr>
        <w:rPr>
          <w:b/>
        </w:rPr>
      </w:pPr>
      <w:r w:rsidRPr="002577AA">
        <w:rPr>
          <w:b/>
        </w:rPr>
        <w:t>Familiarisation costs</w:t>
      </w:r>
    </w:p>
    <w:p w:rsidR="00887F83" w:rsidRDefault="004C54FC" w:rsidP="0099143D">
      <w:pPr>
        <w:pStyle w:val="ListParagraph"/>
        <w:numPr>
          <w:ilvl w:val="0"/>
          <w:numId w:val="1"/>
        </w:numPr>
      </w:pPr>
      <w:r>
        <w:t xml:space="preserve">In your opinion, </w:t>
      </w:r>
      <w:r w:rsidR="00887F83">
        <w:t xml:space="preserve">what proportion of </w:t>
      </w:r>
      <w:r>
        <w:t xml:space="preserve">private landlords </w:t>
      </w:r>
      <w:r w:rsidR="00887F83">
        <w:t xml:space="preserve">do you expect will read the new </w:t>
      </w:r>
      <w:r w:rsidR="00C0633B">
        <w:t xml:space="preserve">regulations and/or </w:t>
      </w:r>
      <w:r w:rsidR="00887F83">
        <w:t xml:space="preserve">guidance </w:t>
      </w:r>
      <w:r>
        <w:t xml:space="preserve">about the MOT-style of landlord gas safety checks </w:t>
      </w:r>
      <w:r w:rsidR="00887F83">
        <w:t>when it comes out?</w:t>
      </w:r>
    </w:p>
    <w:tbl>
      <w:tblPr>
        <w:tblStyle w:val="TableGrid"/>
        <w:tblW w:w="0" w:type="auto"/>
        <w:tblInd w:w="720" w:type="dxa"/>
        <w:tblLook w:val="04A0" w:firstRow="1" w:lastRow="0" w:firstColumn="1" w:lastColumn="0" w:noHBand="0" w:noVBand="1"/>
      </w:tblPr>
      <w:tblGrid>
        <w:gridCol w:w="4261"/>
        <w:gridCol w:w="4261"/>
      </w:tblGrid>
      <w:tr w:rsidR="004C54FC" w:rsidTr="004C54FC">
        <w:tc>
          <w:tcPr>
            <w:tcW w:w="4261" w:type="dxa"/>
          </w:tcPr>
          <w:p w:rsidR="004C54FC" w:rsidRPr="00607349" w:rsidRDefault="004C54FC" w:rsidP="00A24E80">
            <w:r>
              <w:t>Pretty much all (90-100%)</w:t>
            </w:r>
          </w:p>
        </w:tc>
        <w:tc>
          <w:tcPr>
            <w:tcW w:w="4261" w:type="dxa"/>
          </w:tcPr>
          <w:p w:rsidR="004C54FC" w:rsidRDefault="004C54FC" w:rsidP="004C54FC">
            <w:pPr>
              <w:pStyle w:val="ListParagraph"/>
              <w:ind w:left="0"/>
            </w:pPr>
            <w:r>
              <w:t>Some (10-39%)</w:t>
            </w:r>
          </w:p>
        </w:tc>
      </w:tr>
      <w:tr w:rsidR="004C54FC" w:rsidTr="004C54FC">
        <w:tc>
          <w:tcPr>
            <w:tcW w:w="4261" w:type="dxa"/>
          </w:tcPr>
          <w:p w:rsidR="004C54FC" w:rsidRPr="00607349" w:rsidRDefault="004C54FC" w:rsidP="00A24E80">
            <w:r>
              <w:t>Most (60-89%)</w:t>
            </w:r>
          </w:p>
        </w:tc>
        <w:tc>
          <w:tcPr>
            <w:tcW w:w="4261" w:type="dxa"/>
          </w:tcPr>
          <w:p w:rsidR="004C54FC" w:rsidRDefault="004C54FC" w:rsidP="004C54FC">
            <w:pPr>
              <w:pStyle w:val="ListParagraph"/>
              <w:ind w:left="0"/>
            </w:pPr>
            <w:r>
              <w:t>Pretty much none (0-9%)</w:t>
            </w:r>
          </w:p>
        </w:tc>
      </w:tr>
      <w:tr w:rsidR="004C54FC" w:rsidTr="004C54FC">
        <w:tc>
          <w:tcPr>
            <w:tcW w:w="4261" w:type="dxa"/>
          </w:tcPr>
          <w:p w:rsidR="004C54FC" w:rsidRPr="00607349" w:rsidRDefault="004C54FC" w:rsidP="00A24E80">
            <w:r>
              <w:t>About half (40-59%)</w:t>
            </w:r>
          </w:p>
        </w:tc>
        <w:tc>
          <w:tcPr>
            <w:tcW w:w="4261" w:type="dxa"/>
          </w:tcPr>
          <w:p w:rsidR="004C54FC" w:rsidRDefault="004C54FC" w:rsidP="004C54FC">
            <w:pPr>
              <w:pStyle w:val="ListParagraph"/>
              <w:ind w:left="0"/>
            </w:pPr>
          </w:p>
        </w:tc>
      </w:tr>
    </w:tbl>
    <w:p w:rsidR="00406C62" w:rsidRDefault="00406C62" w:rsidP="00406C62">
      <w:pPr>
        <w:pStyle w:val="ListParagraph"/>
      </w:pPr>
    </w:p>
    <w:p w:rsidR="00406C62" w:rsidRPr="00406C62" w:rsidRDefault="00887F83" w:rsidP="0099143D">
      <w:pPr>
        <w:pStyle w:val="ListParagraph"/>
        <w:numPr>
          <w:ilvl w:val="0"/>
          <w:numId w:val="1"/>
        </w:numPr>
      </w:pPr>
      <w:r>
        <w:t xml:space="preserve">In your </w:t>
      </w:r>
      <w:r w:rsidR="004C54FC">
        <w:t>opinion</w:t>
      </w:r>
      <w:r>
        <w:t xml:space="preserve">, </w:t>
      </w:r>
      <w:r w:rsidR="00406C62">
        <w:t>approximately</w:t>
      </w:r>
      <w:r w:rsidR="004C54FC">
        <w:t xml:space="preserve"> how long will it take private landlords to read and </w:t>
      </w:r>
      <w:r w:rsidR="00406C62">
        <w:t xml:space="preserve">familiarise themselves with the </w:t>
      </w:r>
      <w:r w:rsidR="00406C62" w:rsidRPr="00406C62">
        <w:t xml:space="preserve">new </w:t>
      </w:r>
      <w:r w:rsidR="00C0633B">
        <w:t xml:space="preserve">legislation and/or </w:t>
      </w:r>
      <w:r w:rsidR="00406C62" w:rsidRPr="00406C62">
        <w:t>guidance about the MOT-style of landlord gas safety checks when it comes out?</w:t>
      </w:r>
    </w:p>
    <w:tbl>
      <w:tblPr>
        <w:tblStyle w:val="TableGrid"/>
        <w:tblW w:w="0" w:type="auto"/>
        <w:tblInd w:w="720" w:type="dxa"/>
        <w:tblLook w:val="04A0" w:firstRow="1" w:lastRow="0" w:firstColumn="1" w:lastColumn="0" w:noHBand="0" w:noVBand="1"/>
      </w:tblPr>
      <w:tblGrid>
        <w:gridCol w:w="4261"/>
        <w:gridCol w:w="4261"/>
      </w:tblGrid>
      <w:tr w:rsidR="00406C62" w:rsidTr="00AE2D65">
        <w:tc>
          <w:tcPr>
            <w:tcW w:w="4261" w:type="dxa"/>
          </w:tcPr>
          <w:p w:rsidR="00406C62" w:rsidRPr="00607349" w:rsidRDefault="00406C62" w:rsidP="00406C62">
            <w:r>
              <w:t>Less than 5 minutes</w:t>
            </w:r>
          </w:p>
        </w:tc>
        <w:tc>
          <w:tcPr>
            <w:tcW w:w="4261" w:type="dxa"/>
          </w:tcPr>
          <w:p w:rsidR="00406C62" w:rsidRDefault="00406C62" w:rsidP="00406C62">
            <w:pPr>
              <w:pStyle w:val="ListParagraph"/>
              <w:ind w:left="0"/>
            </w:pPr>
            <w:r>
              <w:t>Between 46 minutes and an hour</w:t>
            </w:r>
          </w:p>
        </w:tc>
      </w:tr>
      <w:tr w:rsidR="00406C62" w:rsidTr="00AE2D65">
        <w:tc>
          <w:tcPr>
            <w:tcW w:w="4261" w:type="dxa"/>
          </w:tcPr>
          <w:p w:rsidR="00406C62" w:rsidRPr="00607349" w:rsidRDefault="00406C62" w:rsidP="00406C62">
            <w:r>
              <w:t>Between 5 and 10 minutes</w:t>
            </w:r>
          </w:p>
        </w:tc>
        <w:tc>
          <w:tcPr>
            <w:tcW w:w="4261" w:type="dxa"/>
          </w:tcPr>
          <w:p w:rsidR="00406C62" w:rsidRDefault="00406C62" w:rsidP="00C0633B">
            <w:pPr>
              <w:pStyle w:val="ListParagraph"/>
              <w:ind w:left="0"/>
            </w:pPr>
            <w:r>
              <w:t xml:space="preserve">Between 1 hour and </w:t>
            </w:r>
            <w:r w:rsidR="00C0633B">
              <w:t xml:space="preserve">2 </w:t>
            </w:r>
            <w:r>
              <w:t>hours</w:t>
            </w:r>
          </w:p>
        </w:tc>
      </w:tr>
      <w:tr w:rsidR="00406C62" w:rsidTr="00AE2D65">
        <w:tc>
          <w:tcPr>
            <w:tcW w:w="4261" w:type="dxa"/>
          </w:tcPr>
          <w:p w:rsidR="00406C62" w:rsidRPr="00607349" w:rsidRDefault="00406C62" w:rsidP="00406C62">
            <w:r>
              <w:t>Between 11 and 20 minutes</w:t>
            </w:r>
          </w:p>
        </w:tc>
        <w:tc>
          <w:tcPr>
            <w:tcW w:w="4261" w:type="dxa"/>
          </w:tcPr>
          <w:p w:rsidR="00406C62" w:rsidRDefault="00406C62" w:rsidP="00C0633B">
            <w:pPr>
              <w:pStyle w:val="ListParagraph"/>
              <w:ind w:left="0"/>
            </w:pPr>
            <w:r>
              <w:t xml:space="preserve">Between </w:t>
            </w:r>
            <w:r w:rsidR="00C0633B">
              <w:t xml:space="preserve">2 hours and 3 hours </w:t>
            </w:r>
          </w:p>
        </w:tc>
      </w:tr>
      <w:tr w:rsidR="00406C62" w:rsidTr="00AE2D65">
        <w:tc>
          <w:tcPr>
            <w:tcW w:w="4261" w:type="dxa"/>
          </w:tcPr>
          <w:p w:rsidR="00406C62" w:rsidRDefault="00406C62" w:rsidP="00406C62">
            <w:r>
              <w:lastRenderedPageBreak/>
              <w:t>Between 21 and 30 minutes</w:t>
            </w:r>
          </w:p>
        </w:tc>
        <w:tc>
          <w:tcPr>
            <w:tcW w:w="4261" w:type="dxa"/>
          </w:tcPr>
          <w:p w:rsidR="00406C62" w:rsidRDefault="00406C62" w:rsidP="00C0633B">
            <w:pPr>
              <w:pStyle w:val="ListParagraph"/>
              <w:ind w:left="0"/>
            </w:pPr>
            <w:r>
              <w:t xml:space="preserve">More than </w:t>
            </w:r>
            <w:r w:rsidR="00C0633B">
              <w:t>3</w:t>
            </w:r>
            <w:r>
              <w:t xml:space="preserve"> hours</w:t>
            </w:r>
          </w:p>
        </w:tc>
      </w:tr>
      <w:tr w:rsidR="00406C62" w:rsidRPr="00D95E1B" w:rsidTr="00AE2D65">
        <w:tc>
          <w:tcPr>
            <w:tcW w:w="4261" w:type="dxa"/>
          </w:tcPr>
          <w:p w:rsidR="00406C62" w:rsidRPr="00D95E1B" w:rsidRDefault="00406C62" w:rsidP="00406C62">
            <w:r w:rsidRPr="00D95E1B">
              <w:t>Between 31 and 45 minutes</w:t>
            </w:r>
          </w:p>
        </w:tc>
        <w:tc>
          <w:tcPr>
            <w:tcW w:w="4261" w:type="dxa"/>
          </w:tcPr>
          <w:p w:rsidR="00406C62" w:rsidRPr="00D95E1B" w:rsidRDefault="00406C62" w:rsidP="00AE2D65">
            <w:pPr>
              <w:pStyle w:val="ListParagraph"/>
              <w:ind w:left="0"/>
            </w:pPr>
            <w:r w:rsidRPr="00D95E1B">
              <w:t>Other</w:t>
            </w:r>
            <w:r w:rsidR="0099143D">
              <w:t xml:space="preserve"> (please specify)</w:t>
            </w:r>
          </w:p>
        </w:tc>
      </w:tr>
    </w:tbl>
    <w:p w:rsidR="00406C62" w:rsidRDefault="00406C62" w:rsidP="00406C62">
      <w:pPr>
        <w:pStyle w:val="ListParagraph"/>
      </w:pPr>
    </w:p>
    <w:p w:rsidR="004C54FC" w:rsidRDefault="00406C62" w:rsidP="0099143D">
      <w:pPr>
        <w:pStyle w:val="ListParagraph"/>
        <w:numPr>
          <w:ilvl w:val="0"/>
          <w:numId w:val="1"/>
        </w:numPr>
      </w:pPr>
      <w:r>
        <w:t xml:space="preserve">In your opinion, </w:t>
      </w:r>
      <w:r w:rsidR="00887F83">
        <w:t xml:space="preserve">what proportion of </w:t>
      </w:r>
      <w:r w:rsidR="004C54FC">
        <w:t xml:space="preserve">private landlords </w:t>
      </w:r>
      <w:r w:rsidR="00887F83">
        <w:t xml:space="preserve">do you expect will </w:t>
      </w:r>
      <w:r>
        <w:t xml:space="preserve">go back and </w:t>
      </w:r>
      <w:r w:rsidR="00887F83">
        <w:t>refer to guidance as part of their day-to-day work?</w:t>
      </w:r>
    </w:p>
    <w:tbl>
      <w:tblPr>
        <w:tblStyle w:val="TableGrid"/>
        <w:tblW w:w="0" w:type="auto"/>
        <w:tblInd w:w="720" w:type="dxa"/>
        <w:tblLook w:val="04A0" w:firstRow="1" w:lastRow="0" w:firstColumn="1" w:lastColumn="0" w:noHBand="0" w:noVBand="1"/>
      </w:tblPr>
      <w:tblGrid>
        <w:gridCol w:w="4261"/>
        <w:gridCol w:w="4261"/>
      </w:tblGrid>
      <w:tr w:rsidR="004C54FC" w:rsidTr="00AE2D65">
        <w:tc>
          <w:tcPr>
            <w:tcW w:w="4261" w:type="dxa"/>
          </w:tcPr>
          <w:p w:rsidR="004C54FC" w:rsidRPr="00607349" w:rsidRDefault="004C54FC" w:rsidP="00AE2D65">
            <w:r>
              <w:t>Pretty much all (90-100%)</w:t>
            </w:r>
          </w:p>
        </w:tc>
        <w:tc>
          <w:tcPr>
            <w:tcW w:w="4261" w:type="dxa"/>
          </w:tcPr>
          <w:p w:rsidR="004C54FC" w:rsidRDefault="004C54FC" w:rsidP="00AE2D65">
            <w:pPr>
              <w:pStyle w:val="ListParagraph"/>
              <w:ind w:left="0"/>
            </w:pPr>
            <w:r>
              <w:t>Some (10-39%)</w:t>
            </w:r>
          </w:p>
        </w:tc>
      </w:tr>
      <w:tr w:rsidR="004C54FC" w:rsidTr="00AE2D65">
        <w:tc>
          <w:tcPr>
            <w:tcW w:w="4261" w:type="dxa"/>
          </w:tcPr>
          <w:p w:rsidR="004C54FC" w:rsidRPr="00607349" w:rsidRDefault="004C54FC" w:rsidP="00AE2D65">
            <w:r>
              <w:t>Most (60-89%)</w:t>
            </w:r>
          </w:p>
        </w:tc>
        <w:tc>
          <w:tcPr>
            <w:tcW w:w="4261" w:type="dxa"/>
          </w:tcPr>
          <w:p w:rsidR="004C54FC" w:rsidRDefault="004C54FC" w:rsidP="00AE2D65">
            <w:pPr>
              <w:pStyle w:val="ListParagraph"/>
              <w:ind w:left="0"/>
            </w:pPr>
            <w:r>
              <w:t>Pretty much none (0-9%)</w:t>
            </w:r>
          </w:p>
        </w:tc>
      </w:tr>
      <w:tr w:rsidR="004C54FC" w:rsidTr="00AE2D65">
        <w:tc>
          <w:tcPr>
            <w:tcW w:w="4261" w:type="dxa"/>
          </w:tcPr>
          <w:p w:rsidR="004C54FC" w:rsidRPr="00607349" w:rsidRDefault="004C54FC" w:rsidP="00AE2D65">
            <w:r>
              <w:t>About half (40-59%)</w:t>
            </w:r>
          </w:p>
        </w:tc>
        <w:tc>
          <w:tcPr>
            <w:tcW w:w="4261" w:type="dxa"/>
          </w:tcPr>
          <w:p w:rsidR="004C54FC" w:rsidRDefault="004C54FC" w:rsidP="00AE2D65">
            <w:pPr>
              <w:pStyle w:val="ListParagraph"/>
              <w:ind w:left="0"/>
            </w:pPr>
          </w:p>
        </w:tc>
      </w:tr>
    </w:tbl>
    <w:p w:rsidR="00406C62" w:rsidRDefault="00406C62" w:rsidP="00A415E5">
      <w:pPr>
        <w:rPr>
          <w:b/>
        </w:rPr>
      </w:pPr>
    </w:p>
    <w:p w:rsidR="00D95E1B" w:rsidRPr="00520BFA" w:rsidRDefault="00D95E1B" w:rsidP="0099143D">
      <w:pPr>
        <w:pStyle w:val="ListParagraph"/>
        <w:numPr>
          <w:ilvl w:val="0"/>
          <w:numId w:val="1"/>
        </w:numPr>
      </w:pPr>
      <w:r w:rsidRPr="00520BFA">
        <w:t>How do private landlords currently receive information regarding their duties under the Gas Safety (Installation and Use) Regulations 1998 (GSIUR)?</w:t>
      </w:r>
    </w:p>
    <w:tbl>
      <w:tblPr>
        <w:tblStyle w:val="TableGrid"/>
        <w:tblW w:w="0" w:type="auto"/>
        <w:tblInd w:w="720" w:type="dxa"/>
        <w:tblLook w:val="04A0" w:firstRow="1" w:lastRow="0" w:firstColumn="1" w:lastColumn="0" w:noHBand="0" w:noVBand="1"/>
      </w:tblPr>
      <w:tblGrid>
        <w:gridCol w:w="4261"/>
        <w:gridCol w:w="4261"/>
      </w:tblGrid>
      <w:tr w:rsidR="00D95E1B" w:rsidTr="00316B5B">
        <w:tc>
          <w:tcPr>
            <w:tcW w:w="4261" w:type="dxa"/>
          </w:tcPr>
          <w:p w:rsidR="00D95E1B" w:rsidRPr="00607349" w:rsidRDefault="00E73019" w:rsidP="00316B5B">
            <w:r>
              <w:t>HSE Website</w:t>
            </w:r>
          </w:p>
        </w:tc>
        <w:tc>
          <w:tcPr>
            <w:tcW w:w="4261" w:type="dxa"/>
          </w:tcPr>
          <w:p w:rsidR="00D95E1B" w:rsidRDefault="00E73019" w:rsidP="00316B5B">
            <w:pPr>
              <w:pStyle w:val="ListParagraph"/>
              <w:ind w:left="0"/>
            </w:pPr>
            <w:r>
              <w:t xml:space="preserve">Word of Mouth </w:t>
            </w:r>
          </w:p>
        </w:tc>
      </w:tr>
      <w:tr w:rsidR="00D95E1B" w:rsidTr="00316B5B">
        <w:tc>
          <w:tcPr>
            <w:tcW w:w="4261" w:type="dxa"/>
          </w:tcPr>
          <w:p w:rsidR="00D95E1B" w:rsidRPr="00607349" w:rsidRDefault="00E73019" w:rsidP="00316B5B">
            <w:r>
              <w:t>Trade Association (e.g. National Landlord Association)</w:t>
            </w:r>
          </w:p>
        </w:tc>
        <w:tc>
          <w:tcPr>
            <w:tcW w:w="4261" w:type="dxa"/>
          </w:tcPr>
          <w:p w:rsidR="00D95E1B" w:rsidRDefault="00E73019" w:rsidP="00316B5B">
            <w:pPr>
              <w:pStyle w:val="ListParagraph"/>
              <w:ind w:left="0"/>
            </w:pPr>
            <w:r>
              <w:t>Other (please provide details)</w:t>
            </w:r>
          </w:p>
        </w:tc>
      </w:tr>
      <w:tr w:rsidR="00D95E1B" w:rsidTr="00316B5B">
        <w:tc>
          <w:tcPr>
            <w:tcW w:w="4261" w:type="dxa"/>
          </w:tcPr>
          <w:p w:rsidR="00D95E1B" w:rsidRPr="00607349" w:rsidRDefault="00E73019" w:rsidP="00316B5B">
            <w:r>
              <w:t xml:space="preserve">Letting Agencies </w:t>
            </w:r>
          </w:p>
        </w:tc>
        <w:tc>
          <w:tcPr>
            <w:tcW w:w="4261" w:type="dxa"/>
          </w:tcPr>
          <w:p w:rsidR="00D95E1B" w:rsidRDefault="00D95E1B" w:rsidP="00316B5B">
            <w:pPr>
              <w:pStyle w:val="ListParagraph"/>
              <w:ind w:left="0"/>
            </w:pPr>
          </w:p>
        </w:tc>
      </w:tr>
    </w:tbl>
    <w:p w:rsidR="00D95E1B" w:rsidRDefault="00D95E1B" w:rsidP="0099143D">
      <w:pPr>
        <w:pStyle w:val="ListParagraph"/>
        <w:rPr>
          <w:b/>
        </w:rPr>
      </w:pPr>
    </w:p>
    <w:p w:rsidR="00991E40" w:rsidRPr="002577AA" w:rsidRDefault="00991E40" w:rsidP="00A415E5">
      <w:pPr>
        <w:rPr>
          <w:b/>
        </w:rPr>
      </w:pPr>
      <w:bookmarkStart w:id="0" w:name="_GoBack"/>
      <w:bookmarkEnd w:id="0"/>
      <w:r w:rsidRPr="002577AA">
        <w:rPr>
          <w:b/>
        </w:rPr>
        <w:t>IT costs</w:t>
      </w:r>
    </w:p>
    <w:p w:rsidR="00E73019" w:rsidRDefault="00E73019" w:rsidP="0099143D">
      <w:pPr>
        <w:pStyle w:val="ListParagraph"/>
        <w:numPr>
          <w:ilvl w:val="0"/>
          <w:numId w:val="1"/>
        </w:numPr>
      </w:pPr>
      <w:r>
        <w:t>Initial feedback from social landlords suggests that there may be one-off costs to some landlords and organisations in terms of changing their IT sys</w:t>
      </w:r>
      <w:r w:rsidR="00363567">
        <w:t xml:space="preserve">tems as a result of moving to an </w:t>
      </w:r>
      <w:r>
        <w:t xml:space="preserve">MOT-style system for Gas Safety Checks. </w:t>
      </w:r>
      <w:r w:rsidR="00363567">
        <w:t>Do you think that private landlords will also incur a similar one-off cost?</w:t>
      </w:r>
    </w:p>
    <w:p w:rsidR="0076209C" w:rsidRDefault="0076209C" w:rsidP="0076209C">
      <w:pPr>
        <w:pStyle w:val="ListParagraph"/>
      </w:pPr>
    </w:p>
    <w:tbl>
      <w:tblPr>
        <w:tblStyle w:val="TableGrid"/>
        <w:tblW w:w="0" w:type="auto"/>
        <w:tblInd w:w="720" w:type="dxa"/>
        <w:tblLook w:val="04A0" w:firstRow="1" w:lastRow="0" w:firstColumn="1" w:lastColumn="0" w:noHBand="0" w:noVBand="1"/>
      </w:tblPr>
      <w:tblGrid>
        <w:gridCol w:w="2830"/>
        <w:gridCol w:w="2827"/>
        <w:gridCol w:w="2865"/>
      </w:tblGrid>
      <w:tr w:rsidR="0076209C" w:rsidTr="00AE2D65">
        <w:tc>
          <w:tcPr>
            <w:tcW w:w="3080" w:type="dxa"/>
          </w:tcPr>
          <w:p w:rsidR="0076209C" w:rsidRDefault="0076209C" w:rsidP="00AE2D65">
            <w:pPr>
              <w:pStyle w:val="ListParagraph"/>
              <w:ind w:left="0"/>
            </w:pPr>
            <w:r>
              <w:t>Yes</w:t>
            </w:r>
          </w:p>
        </w:tc>
        <w:tc>
          <w:tcPr>
            <w:tcW w:w="3081" w:type="dxa"/>
          </w:tcPr>
          <w:p w:rsidR="0076209C" w:rsidRDefault="0076209C" w:rsidP="00AE2D65">
            <w:pPr>
              <w:pStyle w:val="ListParagraph"/>
              <w:ind w:left="0"/>
            </w:pPr>
            <w:r>
              <w:t>No</w:t>
            </w:r>
          </w:p>
        </w:tc>
        <w:tc>
          <w:tcPr>
            <w:tcW w:w="3081" w:type="dxa"/>
          </w:tcPr>
          <w:p w:rsidR="0076209C" w:rsidRDefault="0076209C" w:rsidP="00AE2D65">
            <w:pPr>
              <w:pStyle w:val="ListParagraph"/>
              <w:ind w:left="0"/>
            </w:pPr>
            <w:r>
              <w:t>Unsure</w:t>
            </w:r>
          </w:p>
        </w:tc>
      </w:tr>
    </w:tbl>
    <w:p w:rsidR="00E73019" w:rsidRPr="00B83A88" w:rsidRDefault="00E73019" w:rsidP="002577AA">
      <w:pPr>
        <w:pStyle w:val="ListParagraph"/>
      </w:pPr>
    </w:p>
    <w:p w:rsidR="00D0018E" w:rsidRDefault="00D0018E" w:rsidP="0099143D">
      <w:pPr>
        <w:pStyle w:val="ListParagraph"/>
        <w:numPr>
          <w:ilvl w:val="0"/>
          <w:numId w:val="1"/>
        </w:numPr>
      </w:pPr>
      <w:r w:rsidRPr="00B83A88">
        <w:t xml:space="preserve">If so, what is the approximate cost of changing your IT </w:t>
      </w:r>
      <w:r w:rsidR="002E45F0">
        <w:t xml:space="preserve">system </w:t>
      </w:r>
      <w:r w:rsidRPr="00B83A88">
        <w:t>to accommodate the proposed MOT-type landlord gas safety checks - either in terms of an overall cost or a ‘per property’ cost?</w:t>
      </w:r>
    </w:p>
    <w:tbl>
      <w:tblPr>
        <w:tblStyle w:val="TableGrid"/>
        <w:tblW w:w="0" w:type="auto"/>
        <w:tblInd w:w="675" w:type="dxa"/>
        <w:tblLook w:val="04A0" w:firstRow="1" w:lastRow="0" w:firstColumn="1" w:lastColumn="0" w:noHBand="0" w:noVBand="1"/>
      </w:tblPr>
      <w:tblGrid>
        <w:gridCol w:w="8567"/>
      </w:tblGrid>
      <w:tr w:rsidR="0076209C" w:rsidTr="0076209C">
        <w:tc>
          <w:tcPr>
            <w:tcW w:w="8567" w:type="dxa"/>
          </w:tcPr>
          <w:p w:rsidR="0076209C" w:rsidRDefault="0076209C" w:rsidP="0076209C">
            <w:r>
              <w:t>£</w:t>
            </w:r>
          </w:p>
        </w:tc>
      </w:tr>
    </w:tbl>
    <w:p w:rsidR="0076209C" w:rsidRDefault="0076209C" w:rsidP="00A415E5">
      <w:pPr>
        <w:rPr>
          <w:b/>
        </w:rPr>
      </w:pPr>
    </w:p>
    <w:p w:rsidR="00991E40" w:rsidRPr="002577AA" w:rsidRDefault="00991E40" w:rsidP="00A415E5">
      <w:pPr>
        <w:rPr>
          <w:b/>
        </w:rPr>
      </w:pPr>
      <w:r w:rsidRPr="002577AA">
        <w:rPr>
          <w:b/>
        </w:rPr>
        <w:t>Other impacts (savings / costs)</w:t>
      </w:r>
    </w:p>
    <w:p w:rsidR="00D0018E" w:rsidRDefault="00D0018E" w:rsidP="0099143D">
      <w:pPr>
        <w:pStyle w:val="ListParagraph"/>
        <w:numPr>
          <w:ilvl w:val="0"/>
          <w:numId w:val="1"/>
        </w:numPr>
      </w:pPr>
      <w:r w:rsidRPr="00B83A88">
        <w:t xml:space="preserve">Are there any other impacts (costs and/or savings) that haven’t been considered above? If so, please </w:t>
      </w:r>
      <w:r w:rsidR="009E13CF">
        <w:t xml:space="preserve">provide </w:t>
      </w:r>
      <w:r w:rsidRPr="00B83A88">
        <w:t>details below.</w:t>
      </w:r>
    </w:p>
    <w:tbl>
      <w:tblPr>
        <w:tblStyle w:val="TableGrid"/>
        <w:tblW w:w="0" w:type="auto"/>
        <w:tblInd w:w="675" w:type="dxa"/>
        <w:tblLook w:val="04A0" w:firstRow="1" w:lastRow="0" w:firstColumn="1" w:lastColumn="0" w:noHBand="0" w:noVBand="1"/>
      </w:tblPr>
      <w:tblGrid>
        <w:gridCol w:w="8567"/>
      </w:tblGrid>
      <w:tr w:rsidR="0076209C" w:rsidTr="0076209C">
        <w:tc>
          <w:tcPr>
            <w:tcW w:w="8567" w:type="dxa"/>
          </w:tcPr>
          <w:p w:rsidR="0076209C" w:rsidRDefault="0076209C" w:rsidP="0076209C"/>
          <w:p w:rsidR="0076209C" w:rsidRDefault="0076209C" w:rsidP="0076209C"/>
          <w:p w:rsidR="0076209C" w:rsidRDefault="0076209C" w:rsidP="0076209C"/>
          <w:p w:rsidR="0076209C" w:rsidRDefault="0076209C" w:rsidP="0076209C"/>
          <w:p w:rsidR="0076209C" w:rsidRDefault="0076209C" w:rsidP="0076209C"/>
        </w:tc>
      </w:tr>
    </w:tbl>
    <w:p w:rsidR="0076209C" w:rsidRPr="00B83A88" w:rsidRDefault="0076209C" w:rsidP="0076209C"/>
    <w:sectPr w:rsidR="0076209C" w:rsidRPr="00B83A8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09C" w:rsidRDefault="00E1709C" w:rsidP="00E1709C">
      <w:pPr>
        <w:spacing w:after="0" w:line="240" w:lineRule="auto"/>
      </w:pPr>
      <w:r>
        <w:separator/>
      </w:r>
    </w:p>
  </w:endnote>
  <w:endnote w:type="continuationSeparator" w:id="0">
    <w:p w:rsidR="00E1709C" w:rsidRDefault="00E1709C" w:rsidP="00E1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612069"/>
      <w:docPartObj>
        <w:docPartGallery w:val="Page Numbers (Bottom of Page)"/>
        <w:docPartUnique/>
      </w:docPartObj>
    </w:sdtPr>
    <w:sdtEndPr/>
    <w:sdtContent>
      <w:sdt>
        <w:sdtPr>
          <w:id w:val="860082579"/>
          <w:docPartObj>
            <w:docPartGallery w:val="Page Numbers (Top of Page)"/>
            <w:docPartUnique/>
          </w:docPartObj>
        </w:sdtPr>
        <w:sdtEndPr/>
        <w:sdtContent>
          <w:p w:rsidR="00E1709C" w:rsidRDefault="00E1709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032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32DC">
              <w:rPr>
                <w:b/>
                <w:bCs/>
                <w:noProof/>
              </w:rPr>
              <w:t>4</w:t>
            </w:r>
            <w:r>
              <w:rPr>
                <w:b/>
                <w:bCs/>
                <w:sz w:val="24"/>
                <w:szCs w:val="24"/>
              </w:rPr>
              <w:fldChar w:fldCharType="end"/>
            </w:r>
          </w:p>
        </w:sdtContent>
      </w:sdt>
    </w:sdtContent>
  </w:sdt>
  <w:p w:rsidR="00E1709C" w:rsidRDefault="00E17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09C" w:rsidRDefault="00E1709C" w:rsidP="00E1709C">
      <w:pPr>
        <w:spacing w:after="0" w:line="240" w:lineRule="auto"/>
      </w:pPr>
      <w:r>
        <w:separator/>
      </w:r>
    </w:p>
  </w:footnote>
  <w:footnote w:type="continuationSeparator" w:id="0">
    <w:p w:rsidR="00E1709C" w:rsidRDefault="00E1709C" w:rsidP="00E1709C">
      <w:pPr>
        <w:spacing w:after="0" w:line="240" w:lineRule="auto"/>
      </w:pPr>
      <w:r>
        <w:continuationSeparator/>
      </w:r>
    </w:p>
  </w:footnote>
  <w:footnote w:id="1">
    <w:p w:rsidR="00A032DC" w:rsidRDefault="00A032DC">
      <w:pPr>
        <w:pStyle w:val="FootnoteText"/>
      </w:pPr>
      <w:r>
        <w:rPr>
          <w:rStyle w:val="FootnoteReference"/>
        </w:rPr>
        <w:footnoteRef/>
      </w:r>
      <w:r>
        <w:t xml:space="preserve"> See Association of Gas Safety Managers (AGSM) survey (Dec 2013 / Jan 2014) - </w:t>
      </w:r>
      <w:hyperlink r:id="rId1" w:history="1">
        <w:r w:rsidRPr="00A36466">
          <w:rPr>
            <w:rStyle w:val="Hyperlink"/>
          </w:rPr>
          <w:t>http://www.agsm.uk.com/mot-style-of-servicing-survey-results/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7E8"/>
    <w:multiLevelType w:val="hybridMultilevel"/>
    <w:tmpl w:val="EA960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96239E"/>
    <w:multiLevelType w:val="hybridMultilevel"/>
    <w:tmpl w:val="D660CAFC"/>
    <w:lvl w:ilvl="0" w:tplc="B7A6E6D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1CEB244">
      <w:numFmt w:val="bullet"/>
      <w:lvlText w:val="•"/>
      <w:lvlJc w:val="left"/>
      <w:pPr>
        <w:ind w:left="2700" w:hanging="72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750A5B"/>
    <w:multiLevelType w:val="hybridMultilevel"/>
    <w:tmpl w:val="FDC03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2F00E1"/>
    <w:multiLevelType w:val="hybridMultilevel"/>
    <w:tmpl w:val="86525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1CEB244">
      <w:numFmt w:val="bullet"/>
      <w:lvlText w:val="•"/>
      <w:lvlJc w:val="left"/>
      <w:pPr>
        <w:ind w:left="2700" w:hanging="72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E87B17"/>
    <w:multiLevelType w:val="hybridMultilevel"/>
    <w:tmpl w:val="EDE62E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2D3889"/>
    <w:multiLevelType w:val="hybridMultilevel"/>
    <w:tmpl w:val="410CB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1B434F"/>
    <w:multiLevelType w:val="hybridMultilevel"/>
    <w:tmpl w:val="C05AB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522E72"/>
    <w:multiLevelType w:val="hybridMultilevel"/>
    <w:tmpl w:val="20FC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5E0329"/>
    <w:multiLevelType w:val="hybridMultilevel"/>
    <w:tmpl w:val="CA46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6C135A"/>
    <w:multiLevelType w:val="hybridMultilevel"/>
    <w:tmpl w:val="29D67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455BE6"/>
    <w:multiLevelType w:val="hybridMultilevel"/>
    <w:tmpl w:val="A03EE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2B1C5E"/>
    <w:multiLevelType w:val="hybridMultilevel"/>
    <w:tmpl w:val="DD64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B93808"/>
    <w:multiLevelType w:val="hybridMultilevel"/>
    <w:tmpl w:val="A13E7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11"/>
  </w:num>
  <w:num w:numId="5">
    <w:abstractNumId w:val="6"/>
  </w:num>
  <w:num w:numId="6">
    <w:abstractNumId w:val="8"/>
  </w:num>
  <w:num w:numId="7">
    <w:abstractNumId w:val="0"/>
  </w:num>
  <w:num w:numId="8">
    <w:abstractNumId w:val="5"/>
  </w:num>
  <w:num w:numId="9">
    <w:abstractNumId w:val="12"/>
  </w:num>
  <w:num w:numId="10">
    <w:abstractNumId w:val="9"/>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DA"/>
    <w:rsid w:val="00085978"/>
    <w:rsid w:val="002577AA"/>
    <w:rsid w:val="002E45F0"/>
    <w:rsid w:val="003253DA"/>
    <w:rsid w:val="00363567"/>
    <w:rsid w:val="00406C62"/>
    <w:rsid w:val="004C54FC"/>
    <w:rsid w:val="00520BFA"/>
    <w:rsid w:val="00570AC8"/>
    <w:rsid w:val="0076209C"/>
    <w:rsid w:val="00796B59"/>
    <w:rsid w:val="00887F83"/>
    <w:rsid w:val="0099143D"/>
    <w:rsid w:val="00991E40"/>
    <w:rsid w:val="009E13CF"/>
    <w:rsid w:val="00A032DC"/>
    <w:rsid w:val="00A15845"/>
    <w:rsid w:val="00A415E5"/>
    <w:rsid w:val="00A96F46"/>
    <w:rsid w:val="00B82D10"/>
    <w:rsid w:val="00B83A88"/>
    <w:rsid w:val="00BD1861"/>
    <w:rsid w:val="00BE3B57"/>
    <w:rsid w:val="00C0633B"/>
    <w:rsid w:val="00D0018E"/>
    <w:rsid w:val="00D05769"/>
    <w:rsid w:val="00D95E1B"/>
    <w:rsid w:val="00E1709C"/>
    <w:rsid w:val="00E73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3DA"/>
    <w:pPr>
      <w:ind w:left="720"/>
      <w:contextualSpacing/>
    </w:pPr>
  </w:style>
  <w:style w:type="table" w:styleId="TableGrid">
    <w:name w:val="Table Grid"/>
    <w:basedOn w:val="TableNormal"/>
    <w:uiPriority w:val="59"/>
    <w:rsid w:val="00257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7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09C"/>
  </w:style>
  <w:style w:type="paragraph" w:styleId="Footer">
    <w:name w:val="footer"/>
    <w:basedOn w:val="Normal"/>
    <w:link w:val="FooterChar"/>
    <w:uiPriority w:val="99"/>
    <w:unhideWhenUsed/>
    <w:rsid w:val="00E17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09C"/>
  </w:style>
  <w:style w:type="character" w:styleId="CommentReference">
    <w:name w:val="annotation reference"/>
    <w:basedOn w:val="DefaultParagraphFont"/>
    <w:uiPriority w:val="99"/>
    <w:semiHidden/>
    <w:unhideWhenUsed/>
    <w:rsid w:val="00BD1861"/>
    <w:rPr>
      <w:sz w:val="16"/>
      <w:szCs w:val="16"/>
    </w:rPr>
  </w:style>
  <w:style w:type="paragraph" w:styleId="CommentText">
    <w:name w:val="annotation text"/>
    <w:basedOn w:val="Normal"/>
    <w:link w:val="CommentTextChar"/>
    <w:uiPriority w:val="99"/>
    <w:semiHidden/>
    <w:unhideWhenUsed/>
    <w:rsid w:val="00BD1861"/>
    <w:pPr>
      <w:spacing w:line="240" w:lineRule="auto"/>
    </w:pPr>
    <w:rPr>
      <w:sz w:val="20"/>
      <w:szCs w:val="20"/>
    </w:rPr>
  </w:style>
  <w:style w:type="character" w:customStyle="1" w:styleId="CommentTextChar">
    <w:name w:val="Comment Text Char"/>
    <w:basedOn w:val="DefaultParagraphFont"/>
    <w:link w:val="CommentText"/>
    <w:uiPriority w:val="99"/>
    <w:semiHidden/>
    <w:rsid w:val="00BD1861"/>
    <w:rPr>
      <w:sz w:val="20"/>
      <w:szCs w:val="20"/>
    </w:rPr>
  </w:style>
  <w:style w:type="paragraph" w:styleId="CommentSubject">
    <w:name w:val="annotation subject"/>
    <w:basedOn w:val="CommentText"/>
    <w:next w:val="CommentText"/>
    <w:link w:val="CommentSubjectChar"/>
    <w:uiPriority w:val="99"/>
    <w:semiHidden/>
    <w:unhideWhenUsed/>
    <w:rsid w:val="00BD1861"/>
    <w:rPr>
      <w:b/>
      <w:bCs/>
    </w:rPr>
  </w:style>
  <w:style w:type="character" w:customStyle="1" w:styleId="CommentSubjectChar">
    <w:name w:val="Comment Subject Char"/>
    <w:basedOn w:val="CommentTextChar"/>
    <w:link w:val="CommentSubject"/>
    <w:uiPriority w:val="99"/>
    <w:semiHidden/>
    <w:rsid w:val="00BD1861"/>
    <w:rPr>
      <w:b/>
      <w:bCs/>
      <w:sz w:val="20"/>
      <w:szCs w:val="20"/>
    </w:rPr>
  </w:style>
  <w:style w:type="paragraph" w:styleId="BalloonText">
    <w:name w:val="Balloon Text"/>
    <w:basedOn w:val="Normal"/>
    <w:link w:val="BalloonTextChar"/>
    <w:uiPriority w:val="99"/>
    <w:semiHidden/>
    <w:unhideWhenUsed/>
    <w:rsid w:val="00BD1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861"/>
    <w:rPr>
      <w:rFonts w:ascii="Tahoma" w:hAnsi="Tahoma" w:cs="Tahoma"/>
      <w:sz w:val="16"/>
      <w:szCs w:val="16"/>
    </w:rPr>
  </w:style>
  <w:style w:type="paragraph" w:styleId="FootnoteText">
    <w:name w:val="footnote text"/>
    <w:basedOn w:val="Normal"/>
    <w:link w:val="FootnoteTextChar"/>
    <w:uiPriority w:val="99"/>
    <w:semiHidden/>
    <w:unhideWhenUsed/>
    <w:rsid w:val="00A032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2DC"/>
    <w:rPr>
      <w:sz w:val="20"/>
      <w:szCs w:val="20"/>
    </w:rPr>
  </w:style>
  <w:style w:type="character" w:styleId="FootnoteReference">
    <w:name w:val="footnote reference"/>
    <w:basedOn w:val="DefaultParagraphFont"/>
    <w:uiPriority w:val="99"/>
    <w:semiHidden/>
    <w:unhideWhenUsed/>
    <w:rsid w:val="00A032DC"/>
    <w:rPr>
      <w:vertAlign w:val="superscript"/>
    </w:rPr>
  </w:style>
  <w:style w:type="character" w:styleId="Hyperlink">
    <w:name w:val="Hyperlink"/>
    <w:basedOn w:val="DefaultParagraphFont"/>
    <w:uiPriority w:val="99"/>
    <w:unhideWhenUsed/>
    <w:rsid w:val="00A032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3DA"/>
    <w:pPr>
      <w:ind w:left="720"/>
      <w:contextualSpacing/>
    </w:pPr>
  </w:style>
  <w:style w:type="table" w:styleId="TableGrid">
    <w:name w:val="Table Grid"/>
    <w:basedOn w:val="TableNormal"/>
    <w:uiPriority w:val="59"/>
    <w:rsid w:val="00257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7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09C"/>
  </w:style>
  <w:style w:type="paragraph" w:styleId="Footer">
    <w:name w:val="footer"/>
    <w:basedOn w:val="Normal"/>
    <w:link w:val="FooterChar"/>
    <w:uiPriority w:val="99"/>
    <w:unhideWhenUsed/>
    <w:rsid w:val="00E17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09C"/>
  </w:style>
  <w:style w:type="character" w:styleId="CommentReference">
    <w:name w:val="annotation reference"/>
    <w:basedOn w:val="DefaultParagraphFont"/>
    <w:uiPriority w:val="99"/>
    <w:semiHidden/>
    <w:unhideWhenUsed/>
    <w:rsid w:val="00BD1861"/>
    <w:rPr>
      <w:sz w:val="16"/>
      <w:szCs w:val="16"/>
    </w:rPr>
  </w:style>
  <w:style w:type="paragraph" w:styleId="CommentText">
    <w:name w:val="annotation text"/>
    <w:basedOn w:val="Normal"/>
    <w:link w:val="CommentTextChar"/>
    <w:uiPriority w:val="99"/>
    <w:semiHidden/>
    <w:unhideWhenUsed/>
    <w:rsid w:val="00BD1861"/>
    <w:pPr>
      <w:spacing w:line="240" w:lineRule="auto"/>
    </w:pPr>
    <w:rPr>
      <w:sz w:val="20"/>
      <w:szCs w:val="20"/>
    </w:rPr>
  </w:style>
  <w:style w:type="character" w:customStyle="1" w:styleId="CommentTextChar">
    <w:name w:val="Comment Text Char"/>
    <w:basedOn w:val="DefaultParagraphFont"/>
    <w:link w:val="CommentText"/>
    <w:uiPriority w:val="99"/>
    <w:semiHidden/>
    <w:rsid w:val="00BD1861"/>
    <w:rPr>
      <w:sz w:val="20"/>
      <w:szCs w:val="20"/>
    </w:rPr>
  </w:style>
  <w:style w:type="paragraph" w:styleId="CommentSubject">
    <w:name w:val="annotation subject"/>
    <w:basedOn w:val="CommentText"/>
    <w:next w:val="CommentText"/>
    <w:link w:val="CommentSubjectChar"/>
    <w:uiPriority w:val="99"/>
    <w:semiHidden/>
    <w:unhideWhenUsed/>
    <w:rsid w:val="00BD1861"/>
    <w:rPr>
      <w:b/>
      <w:bCs/>
    </w:rPr>
  </w:style>
  <w:style w:type="character" w:customStyle="1" w:styleId="CommentSubjectChar">
    <w:name w:val="Comment Subject Char"/>
    <w:basedOn w:val="CommentTextChar"/>
    <w:link w:val="CommentSubject"/>
    <w:uiPriority w:val="99"/>
    <w:semiHidden/>
    <w:rsid w:val="00BD1861"/>
    <w:rPr>
      <w:b/>
      <w:bCs/>
      <w:sz w:val="20"/>
      <w:szCs w:val="20"/>
    </w:rPr>
  </w:style>
  <w:style w:type="paragraph" w:styleId="BalloonText">
    <w:name w:val="Balloon Text"/>
    <w:basedOn w:val="Normal"/>
    <w:link w:val="BalloonTextChar"/>
    <w:uiPriority w:val="99"/>
    <w:semiHidden/>
    <w:unhideWhenUsed/>
    <w:rsid w:val="00BD1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861"/>
    <w:rPr>
      <w:rFonts w:ascii="Tahoma" w:hAnsi="Tahoma" w:cs="Tahoma"/>
      <w:sz w:val="16"/>
      <w:szCs w:val="16"/>
    </w:rPr>
  </w:style>
  <w:style w:type="paragraph" w:styleId="FootnoteText">
    <w:name w:val="footnote text"/>
    <w:basedOn w:val="Normal"/>
    <w:link w:val="FootnoteTextChar"/>
    <w:uiPriority w:val="99"/>
    <w:semiHidden/>
    <w:unhideWhenUsed/>
    <w:rsid w:val="00A032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2DC"/>
    <w:rPr>
      <w:sz w:val="20"/>
      <w:szCs w:val="20"/>
    </w:rPr>
  </w:style>
  <w:style w:type="character" w:styleId="FootnoteReference">
    <w:name w:val="footnote reference"/>
    <w:basedOn w:val="DefaultParagraphFont"/>
    <w:uiPriority w:val="99"/>
    <w:semiHidden/>
    <w:unhideWhenUsed/>
    <w:rsid w:val="00A032DC"/>
    <w:rPr>
      <w:vertAlign w:val="superscript"/>
    </w:rPr>
  </w:style>
  <w:style w:type="character" w:styleId="Hyperlink">
    <w:name w:val="Hyperlink"/>
    <w:basedOn w:val="DefaultParagraphFont"/>
    <w:uiPriority w:val="99"/>
    <w:unhideWhenUsed/>
    <w:rsid w:val="00A032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172983">
      <w:bodyDiv w:val="1"/>
      <w:marLeft w:val="0"/>
      <w:marRight w:val="0"/>
      <w:marTop w:val="0"/>
      <w:marBottom w:val="0"/>
      <w:divBdr>
        <w:top w:val="none" w:sz="0" w:space="0" w:color="auto"/>
        <w:left w:val="none" w:sz="0" w:space="0" w:color="auto"/>
        <w:bottom w:val="none" w:sz="0" w:space="0" w:color="auto"/>
        <w:right w:val="none" w:sz="0" w:space="0" w:color="auto"/>
      </w:divBdr>
    </w:div>
    <w:div w:id="10960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gsm.uk.com/mot-style-of-servicing-survey-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8A920-2B3A-4FA6-897C-322EEE3F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4826</Characters>
  <Application>Microsoft Office Word</Application>
  <DocSecurity>0</DocSecurity>
  <Lines>206</Lines>
  <Paragraphs>124</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dcterms:created xsi:type="dcterms:W3CDTF">2016-03-31T12:14:00Z</dcterms:created>
  <dcterms:modified xsi:type="dcterms:W3CDTF">2016-03-31T12:14:00Z</dcterms:modified>
</cp:coreProperties>
</file>